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1322D" w14:textId="77A417A3" w:rsidR="000B7E95" w:rsidRPr="005A1452" w:rsidRDefault="005A1452" w:rsidP="00F2206F">
      <w:pPr>
        <w:spacing w:after="80" w:line="252" w:lineRule="auto"/>
        <w:jc w:val="center"/>
        <w:rPr>
          <w:b/>
        </w:rPr>
      </w:pPr>
      <w:r w:rsidRPr="005A1452">
        <w:rPr>
          <w:b/>
        </w:rPr>
        <w:t>KO</w:t>
      </w:r>
      <w:r w:rsidR="00235D60" w:rsidRPr="005A1452">
        <w:rPr>
          <w:b/>
        </w:rPr>
        <w:t>MUNIKAT</w:t>
      </w:r>
    </w:p>
    <w:p w14:paraId="5BBEA4F7" w14:textId="453E50D3" w:rsidR="00235D60" w:rsidRDefault="00235D60" w:rsidP="00F2206F">
      <w:pPr>
        <w:spacing w:after="80" w:line="252" w:lineRule="auto"/>
        <w:ind w:firstLine="284"/>
        <w:jc w:val="both"/>
      </w:pPr>
      <w:r>
        <w:t xml:space="preserve">Na posiedzeniu w dniu 9 lipca 2021 r. w Mielcu Zarząd Związku – na wniosek miast biorących udział w II etapie finansowanego ze środków EOG </w:t>
      </w:r>
      <w:r w:rsidR="00755EE3">
        <w:t>P</w:t>
      </w:r>
      <w:r>
        <w:t>rogramu MFiP</w:t>
      </w:r>
      <w:r w:rsidR="005A1452">
        <w:t>R</w:t>
      </w:r>
      <w:r>
        <w:t xml:space="preserve"> „</w:t>
      </w:r>
      <w:r w:rsidRPr="005A1452">
        <w:rPr>
          <w:b/>
          <w:i/>
        </w:rPr>
        <w:t>Rozwój Lokalny</w:t>
      </w:r>
      <w:r>
        <w:t>”</w:t>
      </w:r>
      <w:r w:rsidR="00755EE3">
        <w:t xml:space="preserve"> – ocenił sposób i prze</w:t>
      </w:r>
      <w:r w:rsidR="00755EE3">
        <w:softHyphen/>
        <w:t>bieg procedury rozstrzygnięcia naboru i ogłoszenia jego wyników.</w:t>
      </w:r>
    </w:p>
    <w:p w14:paraId="3BCB6F8C" w14:textId="77777777" w:rsidR="00DB25E8" w:rsidRPr="005A1452" w:rsidRDefault="00755EE3" w:rsidP="00F2206F">
      <w:pPr>
        <w:spacing w:after="80" w:line="252" w:lineRule="auto"/>
        <w:ind w:firstLine="284"/>
        <w:jc w:val="both"/>
        <w:rPr>
          <w:spacing w:val="-4"/>
        </w:rPr>
      </w:pPr>
      <w:r w:rsidRPr="005A1452">
        <w:rPr>
          <w:spacing w:val="-4"/>
        </w:rPr>
        <w:t>Zgodnie z regulaminem Programu w II etapie spośród około 50 wniosków wyłonionych w I etapie naboru, na podstawie oceny merytorycznej przedstawionego w każdym z wniosków programu rozwoju lokalnego oraz programu rozwoju instytucjonalnego, komisja</w:t>
      </w:r>
      <w:r w:rsidRPr="005A1452">
        <w:rPr>
          <w:rStyle w:val="Odwoanieprzypisudolnego"/>
          <w:spacing w:val="-4"/>
        </w:rPr>
        <w:footnoteReference w:id="1"/>
      </w:r>
      <w:r w:rsidRPr="005A1452">
        <w:rPr>
          <w:spacing w:val="-4"/>
        </w:rPr>
        <w:t xml:space="preserve"> miała wyłonić około 15 beneficjentów grantów w wysokości średnio po ok. 7 mln euro (łączna suma dofinansowania wynosiła 102 mln euro). </w:t>
      </w:r>
      <w:r w:rsidR="0002773C" w:rsidRPr="005A1452">
        <w:rPr>
          <w:spacing w:val="-4"/>
        </w:rPr>
        <w:t>Maksymalna kwota dofinansowania mogła wynosić 10 mln euro i do tej kwoty mogły sięgać składane przez miasta wnioski. Prawie wszystkie złożone wnioski opiewały na tę właśnie kwotę, zatem już wówczas było wiadomo, że</w:t>
      </w:r>
      <w:r w:rsidR="00DB25E8" w:rsidRPr="005A1452">
        <w:rPr>
          <w:spacing w:val="-4"/>
        </w:rPr>
        <w:t xml:space="preserve"> prawie wszystkie projekty będą wymagały korekty „w dół” kwoty dofinansowania”.</w:t>
      </w:r>
    </w:p>
    <w:p w14:paraId="06832335" w14:textId="4A239CA9" w:rsidR="00E138D5" w:rsidRPr="005A1452" w:rsidRDefault="00755EE3" w:rsidP="00F2206F">
      <w:pPr>
        <w:spacing w:after="80" w:line="252" w:lineRule="auto"/>
        <w:ind w:firstLine="284"/>
        <w:jc w:val="both"/>
        <w:rPr>
          <w:color w:val="000000" w:themeColor="text1"/>
          <w:spacing w:val="-4"/>
        </w:rPr>
      </w:pPr>
      <w:r w:rsidRPr="005A1452">
        <w:rPr>
          <w:color w:val="000000" w:themeColor="text1"/>
          <w:spacing w:val="-4"/>
        </w:rPr>
        <w:t xml:space="preserve">Na skutek pandemii termin składania wniosków w II etapie przedłużono do </w:t>
      </w:r>
      <w:r w:rsidR="00E138D5" w:rsidRPr="005A1452">
        <w:rPr>
          <w:color w:val="000000" w:themeColor="text1"/>
          <w:spacing w:val="-4"/>
        </w:rPr>
        <w:t>30 listopada 2020</w:t>
      </w:r>
      <w:r w:rsidRPr="005A1452">
        <w:rPr>
          <w:color w:val="000000" w:themeColor="text1"/>
          <w:spacing w:val="-4"/>
        </w:rPr>
        <w:t>, a ogło</w:t>
      </w:r>
      <w:r w:rsidR="005A1452">
        <w:rPr>
          <w:color w:val="000000" w:themeColor="text1"/>
          <w:spacing w:val="-4"/>
        </w:rPr>
        <w:softHyphen/>
      </w:r>
      <w:r w:rsidRPr="005A1452">
        <w:rPr>
          <w:color w:val="000000" w:themeColor="text1"/>
          <w:spacing w:val="-4"/>
        </w:rPr>
        <w:t>szenie wyników naboru miało nastąpić</w:t>
      </w:r>
      <w:r w:rsidR="005A1452" w:rsidRPr="005A1452">
        <w:rPr>
          <w:color w:val="000000" w:themeColor="text1"/>
          <w:spacing w:val="-4"/>
        </w:rPr>
        <w:t xml:space="preserve"> w ciągu 4-5 miesięcy, to znaczy</w:t>
      </w:r>
      <w:r w:rsidRPr="005A1452">
        <w:rPr>
          <w:color w:val="000000" w:themeColor="text1"/>
          <w:spacing w:val="-4"/>
        </w:rPr>
        <w:t xml:space="preserve"> </w:t>
      </w:r>
      <w:r w:rsidR="00E138D5" w:rsidRPr="005A1452">
        <w:rPr>
          <w:color w:val="000000" w:themeColor="text1"/>
          <w:spacing w:val="-4"/>
        </w:rPr>
        <w:t>w marcu-kwietniu kolejnego roku</w:t>
      </w:r>
      <w:r w:rsidRPr="005A1452">
        <w:rPr>
          <w:color w:val="000000" w:themeColor="text1"/>
          <w:spacing w:val="-4"/>
        </w:rPr>
        <w:t>.</w:t>
      </w:r>
      <w:r w:rsidR="0002773C" w:rsidRPr="005A1452">
        <w:rPr>
          <w:color w:val="000000" w:themeColor="text1"/>
          <w:spacing w:val="-4"/>
        </w:rPr>
        <w:t xml:space="preserve"> </w:t>
      </w:r>
      <w:r w:rsidR="00E138D5" w:rsidRPr="005A1452">
        <w:rPr>
          <w:color w:val="000000" w:themeColor="text1"/>
          <w:spacing w:val="-4"/>
        </w:rPr>
        <w:t>Od strony norweskiej wi</w:t>
      </w:r>
      <w:r w:rsidR="005A1452" w:rsidRPr="005A1452">
        <w:rPr>
          <w:color w:val="000000" w:themeColor="text1"/>
          <w:spacing w:val="-4"/>
        </w:rPr>
        <w:t>emy</w:t>
      </w:r>
      <w:r w:rsidR="00E138D5" w:rsidRPr="005A1452">
        <w:rPr>
          <w:color w:val="000000" w:themeColor="text1"/>
          <w:spacing w:val="-4"/>
        </w:rPr>
        <w:t>, że w</w:t>
      </w:r>
      <w:r w:rsidR="0002773C" w:rsidRPr="005A1452">
        <w:rPr>
          <w:color w:val="000000" w:themeColor="text1"/>
          <w:spacing w:val="-4"/>
        </w:rPr>
        <w:t>iosną 2021 roku</w:t>
      </w:r>
      <w:r w:rsidR="00E138D5" w:rsidRPr="005A1452">
        <w:rPr>
          <w:color w:val="000000" w:themeColor="text1"/>
          <w:spacing w:val="-4"/>
        </w:rPr>
        <w:t>, po przeprowadzeniu oceny,</w:t>
      </w:r>
      <w:r w:rsidR="0002773C" w:rsidRPr="005A1452">
        <w:rPr>
          <w:color w:val="000000" w:themeColor="text1"/>
          <w:spacing w:val="-4"/>
        </w:rPr>
        <w:t xml:space="preserve"> ministerstwo podjęło nego</w:t>
      </w:r>
      <w:r w:rsidR="00F2206F">
        <w:rPr>
          <w:color w:val="000000" w:themeColor="text1"/>
          <w:spacing w:val="-4"/>
        </w:rPr>
        <w:softHyphen/>
      </w:r>
      <w:r w:rsidR="0002773C" w:rsidRPr="005A1452">
        <w:rPr>
          <w:color w:val="000000" w:themeColor="text1"/>
          <w:spacing w:val="-4"/>
        </w:rPr>
        <w:t>cjacje ze stroną norweską w</w:t>
      </w:r>
      <w:r w:rsidR="00DB25E8" w:rsidRPr="005A1452">
        <w:rPr>
          <w:color w:val="000000" w:themeColor="text1"/>
          <w:spacing w:val="-4"/>
        </w:rPr>
        <w:t> </w:t>
      </w:r>
      <w:r w:rsidR="0002773C" w:rsidRPr="005A1452">
        <w:rPr>
          <w:color w:val="000000" w:themeColor="text1"/>
          <w:spacing w:val="-4"/>
        </w:rPr>
        <w:t>sprawie</w:t>
      </w:r>
      <w:r w:rsidR="00DB25E8" w:rsidRPr="005A1452">
        <w:rPr>
          <w:color w:val="000000" w:themeColor="text1"/>
          <w:spacing w:val="-4"/>
        </w:rPr>
        <w:t xml:space="preserve"> około dwukrotnego zwiększenia liczby beneficjentów, co auto</w:t>
      </w:r>
      <w:r w:rsidR="005A1452">
        <w:rPr>
          <w:color w:val="000000" w:themeColor="text1"/>
          <w:spacing w:val="-4"/>
        </w:rPr>
        <w:softHyphen/>
      </w:r>
      <w:r w:rsidR="00DB25E8" w:rsidRPr="005A1452">
        <w:rPr>
          <w:color w:val="000000" w:themeColor="text1"/>
          <w:spacing w:val="-4"/>
        </w:rPr>
        <w:t>ma</w:t>
      </w:r>
      <w:r w:rsidR="00F2206F">
        <w:rPr>
          <w:color w:val="000000" w:themeColor="text1"/>
          <w:spacing w:val="-4"/>
        </w:rPr>
        <w:softHyphen/>
      </w:r>
      <w:r w:rsidR="00DB25E8" w:rsidRPr="005A1452">
        <w:rPr>
          <w:color w:val="000000" w:themeColor="text1"/>
          <w:spacing w:val="-4"/>
        </w:rPr>
        <w:t xml:space="preserve">tycznie oznaczało dwukrotne zmniejszenie średniej kwoty dofinansowania. </w:t>
      </w:r>
      <w:r w:rsidR="00E138D5" w:rsidRPr="005A1452">
        <w:rPr>
          <w:color w:val="000000" w:themeColor="text1"/>
          <w:spacing w:val="-4"/>
        </w:rPr>
        <w:t>Ministerstwo zaproponowa</w:t>
      </w:r>
      <w:r w:rsidR="005A1452">
        <w:rPr>
          <w:color w:val="000000" w:themeColor="text1"/>
          <w:spacing w:val="-4"/>
        </w:rPr>
        <w:softHyphen/>
      </w:r>
      <w:r w:rsidR="00E138D5" w:rsidRPr="00F2206F">
        <w:rPr>
          <w:color w:val="000000" w:themeColor="text1"/>
          <w:spacing w:val="-4"/>
        </w:rPr>
        <w:t>ło, żeby dofinansowanie otrzymały wszystkie miasta, które w obu kryteriach oceny (program rozwoju lokal</w:t>
      </w:r>
      <w:r w:rsidR="00F2206F">
        <w:rPr>
          <w:color w:val="000000" w:themeColor="text1"/>
          <w:spacing w:val="-4"/>
        </w:rPr>
        <w:softHyphen/>
      </w:r>
      <w:r w:rsidR="00E138D5" w:rsidRPr="00F2206F">
        <w:rPr>
          <w:color w:val="000000" w:themeColor="text1"/>
          <w:spacing w:val="-4"/>
        </w:rPr>
        <w:t>nego i program rozwoju instytucjonalnego) otrzymały co najmniej 60% możliwych do uzyskania punktów</w:t>
      </w:r>
      <w:r w:rsidR="005A1452" w:rsidRPr="00F2206F">
        <w:rPr>
          <w:color w:val="000000" w:themeColor="text1"/>
          <w:spacing w:val="-4"/>
        </w:rPr>
        <w:t>, to znaczy spełniły główny warunek regulaminu.</w:t>
      </w:r>
      <w:r w:rsidR="00E138D5" w:rsidRPr="00F2206F">
        <w:rPr>
          <w:color w:val="000000" w:themeColor="text1"/>
          <w:spacing w:val="-4"/>
        </w:rPr>
        <w:t xml:space="preserve"> Warunek ten spełniło 29 miast. </w:t>
      </w:r>
      <w:r w:rsidR="00DB25E8" w:rsidRPr="00F2206F">
        <w:rPr>
          <w:color w:val="000000" w:themeColor="text1"/>
          <w:spacing w:val="-4"/>
        </w:rPr>
        <w:t>Po trwających</w:t>
      </w:r>
      <w:r w:rsidR="00DB25E8" w:rsidRPr="005A1452">
        <w:rPr>
          <w:color w:val="000000" w:themeColor="text1"/>
          <w:spacing w:val="-4"/>
        </w:rPr>
        <w:t xml:space="preserve"> kilka tygodni negocjacjach strona norweska wyraziła zgodę na postulat ministerstwa, którego uzasadnie</w:t>
      </w:r>
      <w:r w:rsidR="005A1452">
        <w:rPr>
          <w:color w:val="000000" w:themeColor="text1"/>
          <w:spacing w:val="-4"/>
        </w:rPr>
        <w:softHyphen/>
      </w:r>
      <w:r w:rsidR="00DB25E8" w:rsidRPr="005A1452">
        <w:rPr>
          <w:color w:val="000000" w:themeColor="text1"/>
          <w:spacing w:val="-4"/>
        </w:rPr>
        <w:t>niem była „trudna sytuacja miast spowodo</w:t>
      </w:r>
      <w:r w:rsidR="00DB25E8" w:rsidRPr="005A1452">
        <w:rPr>
          <w:color w:val="000000" w:themeColor="text1"/>
          <w:spacing w:val="-4"/>
        </w:rPr>
        <w:softHyphen/>
        <w:t>wana pandemią”</w:t>
      </w:r>
      <w:r w:rsidR="00E138D5" w:rsidRPr="005A1452">
        <w:rPr>
          <w:color w:val="000000" w:themeColor="text1"/>
          <w:spacing w:val="-4"/>
        </w:rPr>
        <w:t xml:space="preserve"> i chęć „wsparcia większej liczby miast”</w:t>
      </w:r>
      <w:r w:rsidR="00DB25E8" w:rsidRPr="005A1452">
        <w:rPr>
          <w:color w:val="000000" w:themeColor="text1"/>
          <w:spacing w:val="-4"/>
        </w:rPr>
        <w:t>.</w:t>
      </w:r>
      <w:r w:rsidR="00E138D5" w:rsidRPr="005A1452">
        <w:rPr>
          <w:color w:val="000000" w:themeColor="text1"/>
          <w:spacing w:val="-4"/>
        </w:rPr>
        <w:t xml:space="preserve"> </w:t>
      </w:r>
    </w:p>
    <w:p w14:paraId="6FEA5775" w14:textId="37EE645F" w:rsidR="00DB25E8" w:rsidRPr="00F2206F" w:rsidRDefault="00DB25E8" w:rsidP="00F2206F">
      <w:pPr>
        <w:spacing w:after="80" w:line="252" w:lineRule="auto"/>
        <w:ind w:firstLine="284"/>
        <w:jc w:val="both"/>
        <w:rPr>
          <w:spacing w:val="-4"/>
        </w:rPr>
      </w:pPr>
      <w:r w:rsidRPr="00F2206F">
        <w:rPr>
          <w:spacing w:val="-4"/>
        </w:rPr>
        <w:t xml:space="preserve">Komisja zatwierdziła </w:t>
      </w:r>
      <w:r w:rsidR="00DB2A58" w:rsidRPr="00F2206F">
        <w:rPr>
          <w:b/>
          <w:spacing w:val="-4"/>
        </w:rPr>
        <w:t>bez zmian</w:t>
      </w:r>
      <w:r w:rsidR="00DB2A58" w:rsidRPr="00F2206F">
        <w:rPr>
          <w:spacing w:val="-4"/>
        </w:rPr>
        <w:t xml:space="preserve"> </w:t>
      </w:r>
      <w:r w:rsidRPr="00F2206F">
        <w:rPr>
          <w:spacing w:val="-4"/>
        </w:rPr>
        <w:t>ocenę wniosków w dniu 2 czerwca br.</w:t>
      </w:r>
      <w:r w:rsidR="00F2206F" w:rsidRPr="00F2206F">
        <w:rPr>
          <w:spacing w:val="-4"/>
        </w:rPr>
        <w:t xml:space="preserve"> Nie został jednak spełniony wy</w:t>
      </w:r>
      <w:r w:rsidR="00F2206F">
        <w:rPr>
          <w:spacing w:val="-4"/>
        </w:rPr>
        <w:softHyphen/>
      </w:r>
      <w:r w:rsidR="00F2206F" w:rsidRPr="00F2206F">
        <w:rPr>
          <w:spacing w:val="-4"/>
        </w:rPr>
        <w:t>móg regulaminu</w:t>
      </w:r>
      <w:r w:rsidR="00F2206F">
        <w:rPr>
          <w:spacing w:val="-4"/>
        </w:rPr>
        <w:t xml:space="preserve"> dotyczący niezwłocznego przekazania wnioskodawcy pisemnej informacji o zakończeniu oceny jego projektu i jej wyniku, wraz z uzasadnieniem.</w:t>
      </w:r>
    </w:p>
    <w:p w14:paraId="0C2A0DFB" w14:textId="147AA182" w:rsidR="00DB25E8" w:rsidRDefault="005A1452" w:rsidP="00F2206F">
      <w:pPr>
        <w:spacing w:after="80" w:line="252" w:lineRule="auto"/>
        <w:ind w:firstLine="284"/>
        <w:jc w:val="both"/>
        <w:rPr>
          <w:spacing w:val="-2"/>
        </w:rPr>
      </w:pPr>
      <w:r>
        <w:rPr>
          <w:spacing w:val="-2"/>
        </w:rPr>
        <w:t>O</w:t>
      </w:r>
      <w:r w:rsidR="00DB25E8">
        <w:rPr>
          <w:spacing w:val="-2"/>
        </w:rPr>
        <w:t>gł</w:t>
      </w:r>
      <w:r>
        <w:rPr>
          <w:spacing w:val="-2"/>
        </w:rPr>
        <w:t>o</w:t>
      </w:r>
      <w:r w:rsidR="00DB25E8">
        <w:rPr>
          <w:spacing w:val="-2"/>
        </w:rPr>
        <w:t>sz</w:t>
      </w:r>
      <w:r>
        <w:rPr>
          <w:spacing w:val="-2"/>
        </w:rPr>
        <w:t>e</w:t>
      </w:r>
      <w:r w:rsidR="00DB25E8">
        <w:rPr>
          <w:spacing w:val="-2"/>
        </w:rPr>
        <w:t>ni</w:t>
      </w:r>
      <w:r>
        <w:rPr>
          <w:spacing w:val="-2"/>
        </w:rPr>
        <w:t>e</w:t>
      </w:r>
      <w:r w:rsidR="00DB25E8">
        <w:rPr>
          <w:spacing w:val="-2"/>
        </w:rPr>
        <w:t xml:space="preserve"> wyników naboru odbyło się w dniach </w:t>
      </w:r>
      <w:r w:rsidR="00241D6E">
        <w:rPr>
          <w:spacing w:val="-2"/>
        </w:rPr>
        <w:t>2 –</w:t>
      </w:r>
      <w:r w:rsidR="00DB25E8">
        <w:rPr>
          <w:spacing w:val="-2"/>
        </w:rPr>
        <w:t xml:space="preserve"> 9 lipca br. w powszechnie krytykowanej formie swoistego marketingu politycznego</w:t>
      </w:r>
      <w:r w:rsidR="00591927">
        <w:rPr>
          <w:spacing w:val="-2"/>
        </w:rPr>
        <w:t xml:space="preserve">, z udziałem </w:t>
      </w:r>
      <w:r>
        <w:rPr>
          <w:spacing w:val="-2"/>
        </w:rPr>
        <w:t xml:space="preserve">m.in. </w:t>
      </w:r>
      <w:r w:rsidR="00591927">
        <w:rPr>
          <w:spacing w:val="-2"/>
        </w:rPr>
        <w:t>posłów opcji rządzącej oraz mediów. Dopiero po zakoń</w:t>
      </w:r>
      <w:r w:rsidR="00241D6E">
        <w:rPr>
          <w:spacing w:val="-2"/>
        </w:rPr>
        <w:softHyphen/>
      </w:r>
      <w:r w:rsidR="00591927">
        <w:rPr>
          <w:spacing w:val="-2"/>
        </w:rPr>
        <w:t>czeniu tej „procedury” ogłoszono</w:t>
      </w:r>
      <w:r>
        <w:rPr>
          <w:spacing w:val="-2"/>
        </w:rPr>
        <w:t xml:space="preserve"> – zgodnie z regulaminem –</w:t>
      </w:r>
      <w:r w:rsidR="00591927">
        <w:rPr>
          <w:spacing w:val="-2"/>
        </w:rPr>
        <w:t xml:space="preserve"> listę rankingową naboru.</w:t>
      </w:r>
    </w:p>
    <w:p w14:paraId="44670E01" w14:textId="77777777" w:rsidR="00591927" w:rsidRDefault="00591927" w:rsidP="00F2206F">
      <w:pPr>
        <w:spacing w:after="80" w:line="252" w:lineRule="auto"/>
        <w:ind w:firstLine="284"/>
        <w:jc w:val="both"/>
        <w:rPr>
          <w:spacing w:val="-2"/>
        </w:rPr>
      </w:pPr>
      <w:r w:rsidRPr="00591927">
        <w:rPr>
          <w:spacing w:val="-5"/>
        </w:rPr>
        <w:t>Zarząd Związku Miast Polskich wyraża następujące zastrzeżenia w stosunku do opisanych wyżej</w:t>
      </w:r>
      <w:r>
        <w:rPr>
          <w:spacing w:val="-2"/>
        </w:rPr>
        <w:t xml:space="preserve"> zdarzeń:</w:t>
      </w:r>
    </w:p>
    <w:p w14:paraId="40912291" w14:textId="15B46B17" w:rsidR="00591927" w:rsidRPr="00DB2A58" w:rsidRDefault="00591927" w:rsidP="00F2206F">
      <w:pPr>
        <w:pStyle w:val="Akapitzlist"/>
        <w:numPr>
          <w:ilvl w:val="0"/>
          <w:numId w:val="1"/>
        </w:numPr>
        <w:spacing w:after="80" w:line="252" w:lineRule="auto"/>
        <w:ind w:left="568" w:hanging="284"/>
        <w:contextualSpacing w:val="0"/>
        <w:jc w:val="both"/>
        <w:rPr>
          <w:spacing w:val="-4"/>
        </w:rPr>
      </w:pPr>
      <w:r w:rsidRPr="00DB2A58">
        <w:rPr>
          <w:spacing w:val="-4"/>
        </w:rPr>
        <w:t xml:space="preserve">Zmiana reguł gry w jej trakcie, </w:t>
      </w:r>
      <w:r w:rsidR="00DB2A58" w:rsidRPr="00DB2A58">
        <w:rPr>
          <w:spacing w:val="-4"/>
        </w:rPr>
        <w:t>choć mieści się w granicach dopuszczonych w Regulaminie Programu, zawsze skutkuje spadkiem zaufania do organizatorów, zatem powinno się jej unikać.</w:t>
      </w:r>
    </w:p>
    <w:p w14:paraId="1AE7E53A" w14:textId="77777777" w:rsidR="00591927" w:rsidRPr="00DB2A58" w:rsidRDefault="00591927" w:rsidP="00F2206F">
      <w:pPr>
        <w:pStyle w:val="Akapitzlist"/>
        <w:numPr>
          <w:ilvl w:val="0"/>
          <w:numId w:val="1"/>
        </w:numPr>
        <w:spacing w:after="80" w:line="252" w:lineRule="auto"/>
        <w:ind w:left="568" w:hanging="284"/>
        <w:contextualSpacing w:val="0"/>
        <w:jc w:val="both"/>
        <w:rPr>
          <w:spacing w:val="-4"/>
        </w:rPr>
      </w:pPr>
      <w:r w:rsidRPr="00DB2A58">
        <w:rPr>
          <w:spacing w:val="-4"/>
        </w:rPr>
        <w:t>Zarząd uważa, że uzasadnienie zmiany nie jest prawdziwe – trudna sytuacja miast w roku 2020 NIE ZOSTAŁA spowodowana pandemią, ale zmianami w systemie PIT, wprowadzonymi w roku 2019 oraz pogłębiającym się niedofinansowaniem oświaty.</w:t>
      </w:r>
    </w:p>
    <w:p w14:paraId="4D519FA9" w14:textId="6BC64547" w:rsidR="00591927" w:rsidRPr="00432974" w:rsidRDefault="00DB2A58" w:rsidP="00F2206F">
      <w:pPr>
        <w:pStyle w:val="Akapitzlist"/>
        <w:numPr>
          <w:ilvl w:val="0"/>
          <w:numId w:val="1"/>
        </w:numPr>
        <w:spacing w:after="80" w:line="252" w:lineRule="auto"/>
        <w:ind w:left="568" w:hanging="284"/>
        <w:contextualSpacing w:val="0"/>
        <w:jc w:val="both"/>
        <w:rPr>
          <w:spacing w:val="-5"/>
        </w:rPr>
      </w:pPr>
      <w:r w:rsidRPr="00432974">
        <w:rPr>
          <w:spacing w:val="-5"/>
        </w:rPr>
        <w:t>Zmiana reguł stanowi przy tym o</w:t>
      </w:r>
      <w:r w:rsidR="00591927" w:rsidRPr="00432974">
        <w:rPr>
          <w:spacing w:val="-5"/>
        </w:rPr>
        <w:t>dejście od filozofii projektu, który miał wpierać zintegrowane plano</w:t>
      </w:r>
      <w:r w:rsidRPr="00432974">
        <w:rPr>
          <w:spacing w:val="-5"/>
        </w:rPr>
        <w:softHyphen/>
      </w:r>
      <w:r w:rsidR="00591927" w:rsidRPr="00432974">
        <w:rPr>
          <w:spacing w:val="-5"/>
        </w:rPr>
        <w:t>wanie</w:t>
      </w:r>
      <w:r w:rsidR="00BF391A" w:rsidRPr="00432974">
        <w:rPr>
          <w:spacing w:val="-5"/>
        </w:rPr>
        <w:t xml:space="preserve"> i prowadzenie</w:t>
      </w:r>
      <w:r w:rsidR="00591927" w:rsidRPr="00432974">
        <w:rPr>
          <w:spacing w:val="-5"/>
        </w:rPr>
        <w:t xml:space="preserve"> </w:t>
      </w:r>
      <w:r w:rsidR="00432974">
        <w:rPr>
          <w:spacing w:val="-5"/>
        </w:rPr>
        <w:t xml:space="preserve">polityki </w:t>
      </w:r>
      <w:r w:rsidR="00591927" w:rsidRPr="00432974">
        <w:rPr>
          <w:spacing w:val="-5"/>
        </w:rPr>
        <w:t>rozwoju</w:t>
      </w:r>
      <w:r w:rsidRPr="00432974">
        <w:rPr>
          <w:spacing w:val="-5"/>
        </w:rPr>
        <w:t>. Tak znaczne zmniejszenie dofinansowania powoduje koniecz</w:t>
      </w:r>
      <w:r w:rsidR="00432974">
        <w:rPr>
          <w:spacing w:val="-5"/>
        </w:rPr>
        <w:softHyphen/>
      </w:r>
      <w:r w:rsidRPr="00432974">
        <w:rPr>
          <w:spacing w:val="-5"/>
        </w:rPr>
        <w:t>ność re</w:t>
      </w:r>
      <w:r w:rsidR="00BF391A" w:rsidRPr="00432974">
        <w:rPr>
          <w:spacing w:val="-5"/>
        </w:rPr>
        <w:softHyphen/>
      </w:r>
      <w:r w:rsidRPr="00432974">
        <w:rPr>
          <w:spacing w:val="-5"/>
        </w:rPr>
        <w:t>zyg</w:t>
      </w:r>
      <w:r w:rsidR="00BF391A" w:rsidRPr="00432974">
        <w:rPr>
          <w:spacing w:val="-5"/>
        </w:rPr>
        <w:softHyphen/>
      </w:r>
      <w:r w:rsidRPr="00432974">
        <w:rPr>
          <w:spacing w:val="-5"/>
        </w:rPr>
        <w:t xml:space="preserve">nacji z i tak ograniczonych </w:t>
      </w:r>
      <w:r w:rsidR="00BF391A" w:rsidRPr="00432974">
        <w:rPr>
          <w:spacing w:val="-5"/>
        </w:rPr>
        <w:t xml:space="preserve">górnym limitem dofinansowania </w:t>
      </w:r>
      <w:r w:rsidRPr="00432974">
        <w:rPr>
          <w:spacing w:val="-5"/>
        </w:rPr>
        <w:t>działań rozwojowych</w:t>
      </w:r>
      <w:r w:rsidR="00BF391A" w:rsidRPr="00432974">
        <w:rPr>
          <w:spacing w:val="-5"/>
        </w:rPr>
        <w:t xml:space="preserve">, zatem </w:t>
      </w:r>
      <w:r w:rsidR="00BF391A" w:rsidRPr="00432974">
        <w:rPr>
          <w:i/>
          <w:spacing w:val="-5"/>
        </w:rPr>
        <w:t>de facto</w:t>
      </w:r>
      <w:r w:rsidR="00BF391A" w:rsidRPr="00432974">
        <w:rPr>
          <w:spacing w:val="-5"/>
        </w:rPr>
        <w:t xml:space="preserve"> uniemożliwia zachowanie kryterium komplementarności i wymogów rozwoju zintegrowanego. Dodat</w:t>
      </w:r>
      <w:r w:rsidR="00BF391A" w:rsidRPr="00432974">
        <w:rPr>
          <w:spacing w:val="-5"/>
        </w:rPr>
        <w:softHyphen/>
        <w:t>kowo powo</w:t>
      </w:r>
      <w:r w:rsidR="00BF391A" w:rsidRPr="00432974">
        <w:rPr>
          <w:spacing w:val="-5"/>
        </w:rPr>
        <w:softHyphen/>
        <w:t>duje negatywny efekt wynikający z niespełnienia uzasadnionych oczekiwań.</w:t>
      </w:r>
    </w:p>
    <w:p w14:paraId="4F66FC12" w14:textId="7609ACBC" w:rsidR="00591927" w:rsidRDefault="00591927" w:rsidP="00F2206F">
      <w:pPr>
        <w:pStyle w:val="Akapitzlist"/>
        <w:numPr>
          <w:ilvl w:val="0"/>
          <w:numId w:val="1"/>
        </w:numPr>
        <w:spacing w:after="80" w:line="252" w:lineRule="auto"/>
        <w:ind w:left="568" w:hanging="284"/>
        <w:contextualSpacing w:val="0"/>
        <w:jc w:val="both"/>
        <w:rPr>
          <w:spacing w:val="-6"/>
        </w:rPr>
      </w:pPr>
      <w:r w:rsidRPr="00BF391A">
        <w:rPr>
          <w:spacing w:val="-6"/>
        </w:rPr>
        <w:t xml:space="preserve">Zarząd podziela pogląd wielu samorządowców, dotyczący niewłaściwej, a </w:t>
      </w:r>
      <w:r w:rsidR="00BF391A" w:rsidRPr="00BF391A">
        <w:rPr>
          <w:spacing w:val="-6"/>
        </w:rPr>
        <w:t>zwłaszcza</w:t>
      </w:r>
      <w:r w:rsidRPr="00BF391A">
        <w:rPr>
          <w:spacing w:val="-6"/>
        </w:rPr>
        <w:t xml:space="preserve"> nie</w:t>
      </w:r>
      <w:r w:rsidR="00DB2A58" w:rsidRPr="00BF391A">
        <w:rPr>
          <w:spacing w:val="-6"/>
        </w:rPr>
        <w:t>przewidzianej</w:t>
      </w:r>
      <w:r w:rsidRPr="00BF391A">
        <w:rPr>
          <w:spacing w:val="-6"/>
        </w:rPr>
        <w:t xml:space="preserve"> </w:t>
      </w:r>
      <w:r w:rsidR="00DB2A58" w:rsidRPr="00BF391A">
        <w:rPr>
          <w:spacing w:val="-6"/>
        </w:rPr>
        <w:t>w</w:t>
      </w:r>
      <w:r w:rsidRPr="00BF391A">
        <w:rPr>
          <w:spacing w:val="-6"/>
        </w:rPr>
        <w:t> </w:t>
      </w:r>
      <w:r w:rsidR="00DB2A58" w:rsidRPr="00BF391A">
        <w:rPr>
          <w:spacing w:val="-6"/>
        </w:rPr>
        <w:t>R</w:t>
      </w:r>
      <w:r w:rsidRPr="00BF391A">
        <w:rPr>
          <w:spacing w:val="-6"/>
        </w:rPr>
        <w:t>egulamin</w:t>
      </w:r>
      <w:r w:rsidR="00DB2A58" w:rsidRPr="00BF391A">
        <w:rPr>
          <w:spacing w:val="-6"/>
        </w:rPr>
        <w:t>ie</w:t>
      </w:r>
      <w:r w:rsidRPr="00BF391A">
        <w:rPr>
          <w:spacing w:val="-6"/>
        </w:rPr>
        <w:t xml:space="preserve"> formy </w:t>
      </w:r>
      <w:r w:rsidR="00BF391A" w:rsidRPr="00BF391A">
        <w:rPr>
          <w:spacing w:val="-6"/>
        </w:rPr>
        <w:t>„</w:t>
      </w:r>
      <w:r w:rsidR="00BF391A">
        <w:rPr>
          <w:spacing w:val="-6"/>
        </w:rPr>
        <w:t xml:space="preserve">marketingowego </w:t>
      </w:r>
      <w:r w:rsidRPr="00BF391A">
        <w:rPr>
          <w:spacing w:val="-6"/>
        </w:rPr>
        <w:t>ogł</w:t>
      </w:r>
      <w:r w:rsidR="00BF391A" w:rsidRPr="00BF391A">
        <w:rPr>
          <w:spacing w:val="-6"/>
        </w:rPr>
        <w:t>a</w:t>
      </w:r>
      <w:r w:rsidRPr="00BF391A">
        <w:rPr>
          <w:spacing w:val="-6"/>
        </w:rPr>
        <w:t>sz</w:t>
      </w:r>
      <w:r w:rsidR="00BF391A" w:rsidRPr="00BF391A">
        <w:rPr>
          <w:spacing w:val="-6"/>
        </w:rPr>
        <w:t>a</w:t>
      </w:r>
      <w:r w:rsidRPr="00BF391A">
        <w:rPr>
          <w:spacing w:val="-6"/>
        </w:rPr>
        <w:t>nia</w:t>
      </w:r>
      <w:r w:rsidR="00BF391A" w:rsidRPr="00BF391A">
        <w:rPr>
          <w:spacing w:val="-6"/>
        </w:rPr>
        <w:t>”</w:t>
      </w:r>
      <w:r w:rsidRPr="00BF391A">
        <w:rPr>
          <w:spacing w:val="-6"/>
        </w:rPr>
        <w:t xml:space="preserve"> wyników naboru</w:t>
      </w:r>
      <w:r w:rsidR="00BF391A" w:rsidRPr="00BF391A">
        <w:rPr>
          <w:spacing w:val="-6"/>
        </w:rPr>
        <w:t>, poprzedzającej ogłoszenie zgodne z Regulaminem.</w:t>
      </w:r>
    </w:p>
    <w:p w14:paraId="6C34A846" w14:textId="7BFD2EF3" w:rsidR="00BF391A" w:rsidRPr="00BF391A" w:rsidRDefault="00BF391A" w:rsidP="00F2206F">
      <w:pPr>
        <w:pStyle w:val="Akapitzlist"/>
        <w:numPr>
          <w:ilvl w:val="0"/>
          <w:numId w:val="1"/>
        </w:numPr>
        <w:spacing w:after="80" w:line="252" w:lineRule="auto"/>
        <w:ind w:left="568" w:hanging="284"/>
        <w:jc w:val="both"/>
        <w:rPr>
          <w:spacing w:val="-6"/>
        </w:rPr>
      </w:pPr>
      <w:r>
        <w:rPr>
          <w:spacing w:val="-6"/>
        </w:rPr>
        <w:t xml:space="preserve">Zarząd </w:t>
      </w:r>
      <w:r w:rsidR="00F2206F">
        <w:rPr>
          <w:spacing w:val="-6"/>
        </w:rPr>
        <w:t>uważa</w:t>
      </w:r>
      <w:r w:rsidR="00432974">
        <w:rPr>
          <w:spacing w:val="-6"/>
        </w:rPr>
        <w:t>, że niespełnienie wymogu niezwłocznego poinformowania miast-wnioskodawców o wy</w:t>
      </w:r>
      <w:r w:rsidR="00432974">
        <w:rPr>
          <w:spacing w:val="-6"/>
        </w:rPr>
        <w:softHyphen/>
        <w:t>nikach oceny ich wniosków stanowi nieuzasadnione naruszenie postanowień Regulaminu.</w:t>
      </w:r>
    </w:p>
    <w:p w14:paraId="3CE12B09" w14:textId="031DD2AE" w:rsidR="00591927" w:rsidRDefault="00591927" w:rsidP="00432974">
      <w:pPr>
        <w:spacing w:after="0" w:line="252" w:lineRule="auto"/>
        <w:jc w:val="both"/>
        <w:rPr>
          <w:spacing w:val="-2"/>
        </w:rPr>
      </w:pPr>
      <w:r>
        <w:rPr>
          <w:spacing w:val="-2"/>
        </w:rPr>
        <w:t>Mielec, 9 lipca 2021 r.</w:t>
      </w:r>
      <w:r w:rsidR="00432974">
        <w:rPr>
          <w:spacing w:val="-2"/>
        </w:rPr>
        <w:tab/>
      </w:r>
      <w:r w:rsidR="00432974">
        <w:rPr>
          <w:spacing w:val="-2"/>
        </w:rPr>
        <w:tab/>
      </w:r>
      <w:r w:rsidR="00432974">
        <w:rPr>
          <w:spacing w:val="-2"/>
        </w:rPr>
        <w:tab/>
      </w:r>
      <w:r w:rsidR="00432974">
        <w:rPr>
          <w:spacing w:val="-2"/>
        </w:rPr>
        <w:tab/>
      </w:r>
      <w:r w:rsidR="00432974">
        <w:rPr>
          <w:spacing w:val="-2"/>
        </w:rPr>
        <w:tab/>
      </w:r>
      <w:r w:rsidR="00432974">
        <w:rPr>
          <w:spacing w:val="-2"/>
        </w:rPr>
        <w:tab/>
      </w:r>
      <w:r w:rsidR="00432974" w:rsidRPr="00432974">
        <w:rPr>
          <w:i/>
          <w:spacing w:val="-2"/>
        </w:rPr>
        <w:t>(-) Zygmunt Frankiewicz</w:t>
      </w:r>
    </w:p>
    <w:p w14:paraId="2A27FE08" w14:textId="7F1321F7" w:rsidR="00432974" w:rsidRPr="00432974" w:rsidRDefault="00432974" w:rsidP="00F2206F">
      <w:pPr>
        <w:spacing w:after="80" w:line="252" w:lineRule="auto"/>
        <w:jc w:val="both"/>
        <w:rPr>
          <w:spacing w:val="-4"/>
        </w:rPr>
      </w:pPr>
      <w:r w:rsidRPr="00432974">
        <w:rPr>
          <w:spacing w:val="-4"/>
        </w:rPr>
        <w:tab/>
      </w:r>
      <w:r w:rsidRPr="00432974">
        <w:rPr>
          <w:spacing w:val="-4"/>
        </w:rPr>
        <w:tab/>
      </w:r>
      <w:r w:rsidRPr="00432974">
        <w:rPr>
          <w:spacing w:val="-4"/>
        </w:rPr>
        <w:tab/>
      </w:r>
      <w:r w:rsidRPr="00432974">
        <w:rPr>
          <w:spacing w:val="-4"/>
        </w:rPr>
        <w:tab/>
      </w:r>
      <w:r w:rsidRPr="00432974">
        <w:rPr>
          <w:spacing w:val="-4"/>
        </w:rPr>
        <w:tab/>
      </w:r>
      <w:r w:rsidRPr="00432974">
        <w:rPr>
          <w:spacing w:val="-4"/>
        </w:rPr>
        <w:tab/>
      </w:r>
      <w:r w:rsidRPr="00432974">
        <w:rPr>
          <w:spacing w:val="-4"/>
        </w:rPr>
        <w:tab/>
      </w:r>
      <w:r w:rsidRPr="00432974">
        <w:rPr>
          <w:spacing w:val="-4"/>
        </w:rPr>
        <w:tab/>
        <w:t xml:space="preserve">        PREZES Z</w:t>
      </w:r>
      <w:bookmarkStart w:id="0" w:name="_GoBack"/>
      <w:bookmarkEnd w:id="0"/>
      <w:r w:rsidRPr="00432974">
        <w:rPr>
          <w:spacing w:val="-4"/>
        </w:rPr>
        <w:t>WĄZKU</w:t>
      </w:r>
    </w:p>
    <w:sectPr w:rsidR="00432974" w:rsidRPr="00432974" w:rsidSect="00F2206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DE6CC" w14:textId="77777777" w:rsidR="0062423B" w:rsidRDefault="0062423B" w:rsidP="00755EE3">
      <w:pPr>
        <w:spacing w:after="0" w:line="240" w:lineRule="auto"/>
      </w:pPr>
      <w:r>
        <w:separator/>
      </w:r>
    </w:p>
  </w:endnote>
  <w:endnote w:type="continuationSeparator" w:id="0">
    <w:p w14:paraId="072EE91F" w14:textId="77777777" w:rsidR="0062423B" w:rsidRDefault="0062423B" w:rsidP="0075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5AE01" w14:textId="77777777" w:rsidR="0062423B" w:rsidRDefault="0062423B" w:rsidP="00755EE3">
      <w:pPr>
        <w:spacing w:after="0" w:line="240" w:lineRule="auto"/>
      </w:pPr>
      <w:r>
        <w:separator/>
      </w:r>
    </w:p>
  </w:footnote>
  <w:footnote w:type="continuationSeparator" w:id="0">
    <w:p w14:paraId="35D6F3EE" w14:textId="77777777" w:rsidR="0062423B" w:rsidRDefault="0062423B" w:rsidP="00755EE3">
      <w:pPr>
        <w:spacing w:after="0" w:line="240" w:lineRule="auto"/>
      </w:pPr>
      <w:r>
        <w:continuationSeparator/>
      </w:r>
    </w:p>
  </w:footnote>
  <w:footnote w:id="1">
    <w:p w14:paraId="4A6ED373" w14:textId="5AB3A1A5" w:rsidR="00755EE3" w:rsidRPr="00DB2A58" w:rsidRDefault="00755EE3" w:rsidP="00241D6E">
      <w:pPr>
        <w:pStyle w:val="Tekstprzypisudolnego"/>
        <w:jc w:val="both"/>
        <w:rPr>
          <w:rFonts w:ascii="Arial Narrow" w:hAnsi="Arial Narrow"/>
          <w:spacing w:val="-4"/>
        </w:rPr>
      </w:pPr>
      <w:r w:rsidRPr="00DB2A58">
        <w:rPr>
          <w:rStyle w:val="Odwoanieprzypisudolnego"/>
          <w:rFonts w:ascii="Arial Narrow" w:hAnsi="Arial Narrow"/>
          <w:spacing w:val="-4"/>
        </w:rPr>
        <w:footnoteRef/>
      </w:r>
      <w:r w:rsidRPr="00DB2A58">
        <w:rPr>
          <w:rFonts w:ascii="Arial Narrow" w:hAnsi="Arial Narrow"/>
          <w:spacing w:val="-4"/>
        </w:rPr>
        <w:t xml:space="preserve"> Komi</w:t>
      </w:r>
      <w:r w:rsidR="005A1452" w:rsidRPr="00DB2A58">
        <w:rPr>
          <w:rFonts w:ascii="Arial Narrow" w:hAnsi="Arial Narrow"/>
          <w:spacing w:val="-4"/>
        </w:rPr>
        <w:t>tet Wyboru Projektów</w:t>
      </w:r>
      <w:r w:rsidRPr="00DB2A58">
        <w:rPr>
          <w:rFonts w:ascii="Arial Narrow" w:hAnsi="Arial Narrow"/>
          <w:spacing w:val="-4"/>
        </w:rPr>
        <w:t>, złożon</w:t>
      </w:r>
      <w:r w:rsidR="005A1452" w:rsidRPr="00DB2A58">
        <w:rPr>
          <w:rFonts w:ascii="Arial Narrow" w:hAnsi="Arial Narrow"/>
          <w:spacing w:val="-4"/>
        </w:rPr>
        <w:t>y</w:t>
      </w:r>
      <w:r w:rsidRPr="00DB2A58">
        <w:rPr>
          <w:rFonts w:ascii="Arial Narrow" w:hAnsi="Arial Narrow"/>
          <w:spacing w:val="-4"/>
        </w:rPr>
        <w:t xml:space="preserve"> z</w:t>
      </w:r>
      <w:r w:rsidR="00DB2A58" w:rsidRPr="00DB2A58">
        <w:rPr>
          <w:rFonts w:ascii="Arial Narrow" w:hAnsi="Arial Narrow"/>
          <w:spacing w:val="-4"/>
        </w:rPr>
        <w:t xml:space="preserve"> przedstawicieli operatora (MFiPR) i donorów (EOG, KS)</w:t>
      </w:r>
      <w:r w:rsidRPr="00DB2A58">
        <w:rPr>
          <w:rFonts w:ascii="Arial Narrow" w:hAnsi="Arial Narrow"/>
          <w:spacing w:val="-4"/>
        </w:rPr>
        <w:t>, na posiedzeniu</w:t>
      </w:r>
      <w:r w:rsidR="00DB2A58" w:rsidRPr="00DB2A58">
        <w:rPr>
          <w:rFonts w:ascii="Arial Narrow" w:hAnsi="Arial Narrow"/>
          <w:spacing w:val="-4"/>
        </w:rPr>
        <w:t xml:space="preserve"> 2 czerwca br.,</w:t>
      </w:r>
      <w:r w:rsidRPr="00DB2A58">
        <w:rPr>
          <w:rFonts w:ascii="Arial Narrow" w:hAnsi="Arial Narrow"/>
          <w:spacing w:val="-4"/>
        </w:rPr>
        <w:t xml:space="preserve"> na podstawie listy rankingowej sporządzonej według ocen przyzna</w:t>
      </w:r>
      <w:r w:rsidR="00241D6E" w:rsidRPr="00DB2A58">
        <w:rPr>
          <w:rFonts w:ascii="Arial Narrow" w:hAnsi="Arial Narrow"/>
          <w:spacing w:val="-4"/>
        </w:rPr>
        <w:softHyphen/>
      </w:r>
      <w:r w:rsidRPr="00DB2A58">
        <w:rPr>
          <w:rFonts w:ascii="Arial Narrow" w:hAnsi="Arial Narrow"/>
          <w:spacing w:val="-4"/>
        </w:rPr>
        <w:t>nych p</w:t>
      </w:r>
      <w:r w:rsidR="00241D6E" w:rsidRPr="00DB2A58">
        <w:rPr>
          <w:rFonts w:ascii="Arial Narrow" w:hAnsi="Arial Narrow"/>
          <w:spacing w:val="-4"/>
        </w:rPr>
        <w:t>oszczególnym wniosk</w:t>
      </w:r>
      <w:r w:rsidRPr="00DB2A58">
        <w:rPr>
          <w:rFonts w:ascii="Arial Narrow" w:hAnsi="Arial Narrow"/>
          <w:spacing w:val="-4"/>
        </w:rPr>
        <w:t xml:space="preserve">om przez </w:t>
      </w:r>
      <w:r w:rsidR="00B17241" w:rsidRPr="00DB2A58">
        <w:rPr>
          <w:rFonts w:ascii="Arial Narrow" w:hAnsi="Arial Narrow"/>
          <w:spacing w:val="-4"/>
        </w:rPr>
        <w:t xml:space="preserve">zespół </w:t>
      </w:r>
      <w:proofErr w:type="spellStart"/>
      <w:r w:rsidR="00B17241" w:rsidRPr="00DB2A58">
        <w:rPr>
          <w:rFonts w:ascii="Arial Narrow" w:hAnsi="Arial Narrow"/>
          <w:spacing w:val="-4"/>
        </w:rPr>
        <w:t>ewaluatorów</w:t>
      </w:r>
      <w:proofErr w:type="spellEnd"/>
      <w:r w:rsidR="00B17241" w:rsidRPr="00DB2A58">
        <w:rPr>
          <w:rFonts w:ascii="Arial Narrow" w:hAnsi="Arial Narrow"/>
          <w:spacing w:val="-4"/>
        </w:rPr>
        <w:t xml:space="preserve"> wynajętych przez </w:t>
      </w:r>
      <w:r w:rsidR="00DB2A58" w:rsidRPr="00DB2A58">
        <w:rPr>
          <w:rFonts w:ascii="Arial Narrow" w:hAnsi="Arial Narrow"/>
          <w:spacing w:val="-4"/>
        </w:rPr>
        <w:t>operatora</w:t>
      </w:r>
      <w:r w:rsidR="005A1452" w:rsidRPr="00DB2A58">
        <w:rPr>
          <w:rFonts w:ascii="Arial Narrow" w:hAnsi="Arial Narrow"/>
          <w:spacing w:val="-4"/>
        </w:rPr>
        <w:t>, zgodnie z regulaminem.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A0F0C"/>
    <w:multiLevelType w:val="hybridMultilevel"/>
    <w:tmpl w:val="D49625F2"/>
    <w:lvl w:ilvl="0" w:tplc="E37A71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60"/>
    <w:rsid w:val="0002773C"/>
    <w:rsid w:val="000B7E95"/>
    <w:rsid w:val="00235D60"/>
    <w:rsid w:val="00241D6E"/>
    <w:rsid w:val="003121B8"/>
    <w:rsid w:val="00432974"/>
    <w:rsid w:val="004D2F38"/>
    <w:rsid w:val="00591927"/>
    <w:rsid w:val="005A1452"/>
    <w:rsid w:val="00603A98"/>
    <w:rsid w:val="0062423B"/>
    <w:rsid w:val="0074481C"/>
    <w:rsid w:val="00755EE3"/>
    <w:rsid w:val="00875671"/>
    <w:rsid w:val="00A36823"/>
    <w:rsid w:val="00B17241"/>
    <w:rsid w:val="00BF391A"/>
    <w:rsid w:val="00DB25E8"/>
    <w:rsid w:val="00DB2A58"/>
    <w:rsid w:val="00E138D5"/>
    <w:rsid w:val="00F2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75EC"/>
  <w15:chartTrackingRefBased/>
  <w15:docId w15:val="{8EE1AD62-3506-40B3-9071-646D62AF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E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E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E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19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19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19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192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3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8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8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8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9c5862069b60d5d445c5bc0141b43408">
  <xsd:schema xmlns:xsd="http://www.w3.org/2001/XMLSchema" xmlns:xs="http://www.w3.org/2001/XMLSchema" xmlns:p="http://schemas.microsoft.com/office/2006/metadata/properties" xmlns:ns3="cc04306a-7e29-4598-8bc0-52e63436a2cf" xmlns:ns4="797f1dc2-8d94-4174-b000-101e7575fb6c" targetNamespace="http://schemas.microsoft.com/office/2006/metadata/properties" ma:root="true" ma:fieldsID="8987624c9add168a28cb6d04c66ae70c" ns3:_="" ns4:_="">
    <xsd:import namespace="cc04306a-7e29-4598-8bc0-52e63436a2cf"/>
    <xsd:import namespace="797f1dc2-8d94-4174-b000-101e7575fb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36CE-C850-42DB-A119-7E0F80C1D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4306a-7e29-4598-8bc0-52e63436a2cf"/>
    <ds:schemaRef ds:uri="797f1dc2-8d94-4174-b000-101e7575f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A26A2-C2A5-4DEB-89E6-00467A1B9A25}">
  <ds:schemaRefs>
    <ds:schemaRef ds:uri="http://schemas.microsoft.com/office/2006/metadata/properties"/>
    <ds:schemaRef ds:uri="http://www.w3.org/XML/1998/namespace"/>
    <ds:schemaRef ds:uri="797f1dc2-8d94-4174-b000-101e7575fb6c"/>
    <ds:schemaRef ds:uri="http://schemas.microsoft.com/office/2006/documentManagement/types"/>
    <ds:schemaRef ds:uri="cc04306a-7e29-4598-8bc0-52e63436a2cf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050985D-FA0B-461A-A535-CC1E3C3A39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B782AC-5F35-467F-A54C-B8011D1B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Porawski</dc:creator>
  <cp:keywords/>
  <dc:description/>
  <cp:lastModifiedBy>Joanna Proniewicz</cp:lastModifiedBy>
  <cp:revision>2</cp:revision>
  <dcterms:created xsi:type="dcterms:W3CDTF">2021-07-17T17:17:00Z</dcterms:created>
  <dcterms:modified xsi:type="dcterms:W3CDTF">2021-07-17T17:17:00Z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