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762B" w14:textId="77777777" w:rsidR="00D4543B" w:rsidRPr="00043F13" w:rsidRDefault="00D4543B" w:rsidP="00D4543B">
      <w:pPr>
        <w:pStyle w:val="TYTUAKTUprzedmiotregulacjiustawylubrozporzdzenia"/>
      </w:pPr>
      <w:bookmarkStart w:id="0" w:name="_GoBack"/>
      <w:bookmarkEnd w:id="0"/>
      <w:r w:rsidRPr="00043F13">
        <w:t>U Z A S A D N I E N I E</w:t>
      </w:r>
    </w:p>
    <w:p w14:paraId="762E15C2" w14:textId="4B171138" w:rsidR="00D4543B" w:rsidRDefault="00D4543B" w:rsidP="00D4543B">
      <w:pPr>
        <w:pStyle w:val="NIEARTTEKSTtekstnieartykuowanynppodstprawnarozplubpreambua"/>
        <w:ind w:firstLine="567"/>
      </w:pPr>
      <w:r w:rsidRPr="00043F13">
        <w:t xml:space="preserve">Projekt rozporządzenia </w:t>
      </w:r>
      <w:r w:rsidR="00B84284" w:rsidRPr="00B84284">
        <w:t xml:space="preserve">w sprawie określenia szczegółowych kryteriów </w:t>
      </w:r>
      <w:r w:rsidR="00AB113D">
        <w:t xml:space="preserve">stosowania warunków </w:t>
      </w:r>
      <w:r w:rsidR="00B84284" w:rsidRPr="00B84284">
        <w:t xml:space="preserve">utraty statusu odpadów dla odpadów destruktu asfaltowego </w:t>
      </w:r>
      <w:r w:rsidRPr="00043F13">
        <w:t>wypełnia upoważnienie do wydania a</w:t>
      </w:r>
      <w:r>
        <w:t>ktu wykonawczego na podstawie art. 14 ust. 1a ustawy z dnia 14 grudnia 20</w:t>
      </w:r>
      <w:r w:rsidRPr="00216A08">
        <w:t>12 r. o odpadach (Dz. U. z</w:t>
      </w:r>
      <w:r w:rsidR="00E834DE">
        <w:t xml:space="preserve"> </w:t>
      </w:r>
      <w:r w:rsidRPr="00216A08">
        <w:t>2020 r. poz. 797 i 875)</w:t>
      </w:r>
      <w:r>
        <w:t xml:space="preserve">. </w:t>
      </w:r>
      <w:r w:rsidRPr="00043F13">
        <w:t xml:space="preserve">Podstawowym celem projektu jest </w:t>
      </w:r>
      <w:r>
        <w:t xml:space="preserve">określenie </w:t>
      </w:r>
      <w:r w:rsidRPr="00D4543B">
        <w:t xml:space="preserve">warunków utraty statusu odpadów dla </w:t>
      </w:r>
      <w:r w:rsidR="00AF03BB">
        <w:t xml:space="preserve">odpadów </w:t>
      </w:r>
      <w:r w:rsidRPr="00D4543B">
        <w:t>destruktu asfaltowego</w:t>
      </w:r>
      <w:r>
        <w:t>.</w:t>
      </w:r>
    </w:p>
    <w:p w14:paraId="6105AF2E" w14:textId="65B8E90D" w:rsidR="00A41157" w:rsidRDefault="00A41157" w:rsidP="00A41157">
      <w:pPr>
        <w:pStyle w:val="ARTartustawynprozporzdzenia"/>
      </w:pPr>
      <w:r>
        <w:t>Destrukt asfaltowy to materiał powstający w wyniku frezowania warst</w:t>
      </w:r>
      <w:r w:rsidR="008E4577">
        <w:t>w nawierzchni istniejących dróg</w:t>
      </w:r>
      <w:r>
        <w:t xml:space="preserve"> </w:t>
      </w:r>
      <w:r w:rsidR="008E4577" w:rsidRPr="008E4577">
        <w:t>lub rozkruszenia płyt wyciętych z nawierzchni asfaltowej</w:t>
      </w:r>
      <w:r w:rsidR="00A7073D">
        <w:t xml:space="preserve"> lub </w:t>
      </w:r>
      <w:r w:rsidR="008E4577" w:rsidRPr="008E4577">
        <w:t>brył uzyskiwanych z tych płyt, lub z mieszanki mineralno-asfaltowej odrzuconej przy jej produkcji lub</w:t>
      </w:r>
      <w:r w:rsidR="008E4577">
        <w:t xml:space="preserve"> będącej nadwyżką jej produkcji. </w:t>
      </w:r>
      <w:r>
        <w:t>Około 95% destruktu asfaltowego stanowi kruszywo, natomiast pozostałe 5% to lepiszcze, obecnie wyłącznie asfaltowe. Destrukt asfaltowy stosuje się głównie w mieszankach mineralno-asfaltowych jako częściowy substytut kruszywa.</w:t>
      </w:r>
    </w:p>
    <w:p w14:paraId="321E73B8" w14:textId="4F7E67D7" w:rsidR="00193EB2" w:rsidRDefault="008D448A" w:rsidP="008A0263">
      <w:pPr>
        <w:pStyle w:val="ARTartustawynprozporzdzenia"/>
      </w:pPr>
      <w:r w:rsidRPr="008D448A">
        <w:t xml:space="preserve">Zgodnie z ustawą z dnia 14 grudnia 2012 r. o odpadach </w:t>
      </w:r>
      <w:r>
        <w:t>d</w:t>
      </w:r>
      <w:r w:rsidRPr="008D448A">
        <w:t xml:space="preserve">estrukt asfaltowy stanowi odpady o kodzie 17 03 01* Mieszanki bitumiczne zawierające smołę (odpad niebezpieczny) lub 17 03 02 Mieszanki bitumiczne inne niż wymienione w 17 03 01. Projekt rozporządzenia dotyczy destruktu asfaltowego o kodzie odpadów 17 03 02. </w:t>
      </w:r>
      <w:r w:rsidR="00D51269">
        <w:t>W zwią</w:t>
      </w:r>
      <w:r w:rsidR="001D7EC5">
        <w:t>zku z tym dalsze postępowanie z </w:t>
      </w:r>
      <w:r w:rsidR="00D51269">
        <w:t>destruktem stanowiącym odpady powinno się odbywać ści</w:t>
      </w:r>
      <w:r w:rsidR="001D7EC5">
        <w:t>śle według zasad wynikających z </w:t>
      </w:r>
      <w:r w:rsidR="00D51269">
        <w:t xml:space="preserve">przepisów ustawy </w:t>
      </w:r>
      <w:r w:rsidR="00193EB2">
        <w:t xml:space="preserve">o odpadach, </w:t>
      </w:r>
      <w:r w:rsidR="00193EB2" w:rsidRPr="004702E4">
        <w:rPr>
          <w:color w:val="000000"/>
        </w:rPr>
        <w:t xml:space="preserve">m.in. podmioty wykorzystujące destrukt </w:t>
      </w:r>
      <w:r w:rsidR="00193EB2">
        <w:rPr>
          <w:color w:val="000000"/>
        </w:rPr>
        <w:t xml:space="preserve">asfaltowy </w:t>
      </w:r>
      <w:r w:rsidR="00193EB2" w:rsidRPr="004702E4">
        <w:rPr>
          <w:color w:val="000000"/>
        </w:rPr>
        <w:t>powinny posiadać zezwolenie na przetwarzanie odpadów</w:t>
      </w:r>
      <w:r w:rsidR="001E54E2">
        <w:rPr>
          <w:color w:val="000000"/>
        </w:rPr>
        <w:t xml:space="preserve"> oraz</w:t>
      </w:r>
      <w:r w:rsidR="00193EB2">
        <w:rPr>
          <w:color w:val="000000"/>
        </w:rPr>
        <w:t xml:space="preserve"> powinny być spełnione odpowiednie wymagania </w:t>
      </w:r>
      <w:r w:rsidR="00193EB2">
        <w:t>dla miejsc magazynowania odpadów.</w:t>
      </w:r>
      <w:r w:rsidR="008A0263">
        <w:t xml:space="preserve"> </w:t>
      </w:r>
    </w:p>
    <w:p w14:paraId="554A24EC" w14:textId="083F6398" w:rsidR="00D4543B" w:rsidRDefault="00193EB2" w:rsidP="00D4543B">
      <w:pPr>
        <w:pStyle w:val="ARTartustawynprozporzdzenia"/>
      </w:pPr>
      <w:r>
        <w:t xml:space="preserve">Powyższe </w:t>
      </w:r>
      <w:r w:rsidR="00166BD5">
        <w:t xml:space="preserve">wymagania </w:t>
      </w:r>
      <w:r w:rsidR="00D51269">
        <w:t>stwarza</w:t>
      </w:r>
      <w:r w:rsidR="00166BD5">
        <w:t>ją</w:t>
      </w:r>
      <w:r>
        <w:t xml:space="preserve"> istotne </w:t>
      </w:r>
      <w:r w:rsidR="00D51269">
        <w:t>utrudnienia i częściowo uniemożliwiają ponowne wykorzystanie destruktu asfaltowego</w:t>
      </w:r>
      <w:r w:rsidR="00F551E7">
        <w:t>.</w:t>
      </w:r>
      <w:r w:rsidR="00E03AEB">
        <w:t xml:space="preserve"> </w:t>
      </w:r>
      <w:r w:rsidR="00F551E7">
        <w:t xml:space="preserve">Określenie </w:t>
      </w:r>
      <w:r w:rsidR="00F551E7" w:rsidRPr="00F551E7">
        <w:t xml:space="preserve">warunków utraty statusu odpadów </w:t>
      </w:r>
      <w:r w:rsidR="00F551E7">
        <w:t xml:space="preserve">dla </w:t>
      </w:r>
      <w:bookmarkStart w:id="1" w:name="_Hlk51225783"/>
      <w:r w:rsidR="00F551E7">
        <w:t xml:space="preserve">odpadów </w:t>
      </w:r>
      <w:r w:rsidR="00F551E7" w:rsidRPr="00F551E7">
        <w:t>destruktu asfaltowego</w:t>
      </w:r>
      <w:r w:rsidR="00F551E7">
        <w:t xml:space="preserve"> </w:t>
      </w:r>
      <w:r w:rsidR="00A41157">
        <w:t>ułatwi gospodarowanie tym materiałem</w:t>
      </w:r>
      <w:r w:rsidR="00F551E7">
        <w:t xml:space="preserve">, </w:t>
      </w:r>
      <w:r w:rsidR="00A41157">
        <w:t>skutkować będzie</w:t>
      </w:r>
      <w:r w:rsidR="00F551E7">
        <w:t xml:space="preserve"> </w:t>
      </w:r>
      <w:r w:rsidR="00A41157">
        <w:t>ograniczeniem eksploatacji złóż surowców naturalnych</w:t>
      </w:r>
      <w:r w:rsidR="001E54E2">
        <w:t>,</w:t>
      </w:r>
      <w:r w:rsidR="00F551E7">
        <w:t xml:space="preserve"> zastępując naturalne kruszywo</w:t>
      </w:r>
      <w:r w:rsidR="00A41157">
        <w:t>, przyniesie wymierne korzyści dla</w:t>
      </w:r>
      <w:r w:rsidR="00F551E7">
        <w:t xml:space="preserve"> </w:t>
      </w:r>
      <w:r w:rsidR="00A41157">
        <w:t xml:space="preserve">środowiska, ograniczy magazynowanie destruktu </w:t>
      </w:r>
      <w:r w:rsidR="00AB113D">
        <w:t xml:space="preserve">asfaltowego </w:t>
      </w:r>
      <w:r w:rsidR="00A41157">
        <w:t>na hałdach</w:t>
      </w:r>
      <w:r w:rsidR="00F551E7">
        <w:t xml:space="preserve"> oraz</w:t>
      </w:r>
      <w:r w:rsidR="00A41157">
        <w:t xml:space="preserve"> wpisuje się w założenia</w:t>
      </w:r>
      <w:r w:rsidR="00F551E7">
        <w:t xml:space="preserve"> </w:t>
      </w:r>
      <w:r w:rsidR="00A41157">
        <w:t>gospodarki o obiegu zamkniętym</w:t>
      </w:r>
      <w:r w:rsidR="00F551E7">
        <w:t xml:space="preserve"> (GOZ)</w:t>
      </w:r>
      <w:r w:rsidR="00E665EA" w:rsidRPr="00E665EA">
        <w:t>.</w:t>
      </w:r>
      <w:r w:rsidR="00F551E7">
        <w:t xml:space="preserve"> Zgodnie z podejściem GOZ </w:t>
      </w:r>
      <w:r w:rsidR="00F551E7" w:rsidRPr="00F551E7">
        <w:t>produkty, materiały oraz surowce powinny pozostawać w obiegu tak długo, jak jest to możliwe, a wytwarzanie odpadów powinno być jak najbardziej zminimalizowane.</w:t>
      </w:r>
      <w:r w:rsidR="00F551E7">
        <w:t xml:space="preserve"> </w:t>
      </w:r>
      <w:bookmarkEnd w:id="1"/>
    </w:p>
    <w:p w14:paraId="18774BBA" w14:textId="77777777" w:rsidR="00D64CCE" w:rsidRPr="00D4543B" w:rsidRDefault="00D64CCE" w:rsidP="00D4543B">
      <w:pPr>
        <w:pStyle w:val="ARTartustawynprozporzdzenia"/>
      </w:pPr>
      <w:bookmarkStart w:id="2" w:name="_Hlk51225795"/>
      <w:r>
        <w:rPr>
          <w:rFonts w:ascii="Times New Roman" w:hAnsi="Times New Roman"/>
          <w:color w:val="000000"/>
          <w:spacing w:val="-2"/>
        </w:rPr>
        <w:t xml:space="preserve">Oczekiwanym efektem rozporządzenia będzie zmniejszenie obciążeń regulacyjnych dla przedsiębiorców i ułatwienie procedur związanych z </w:t>
      </w:r>
      <w:r w:rsidRPr="00E60D78">
        <w:rPr>
          <w:rFonts w:ascii="Times New Roman" w:hAnsi="Times New Roman"/>
          <w:color w:val="000000"/>
          <w:spacing w:val="-2"/>
        </w:rPr>
        <w:t>proces</w:t>
      </w:r>
      <w:r>
        <w:rPr>
          <w:rFonts w:ascii="Times New Roman" w:hAnsi="Times New Roman"/>
          <w:color w:val="000000"/>
          <w:spacing w:val="-2"/>
        </w:rPr>
        <w:t>ami</w:t>
      </w:r>
      <w:r w:rsidRPr="00E60D78">
        <w:rPr>
          <w:rFonts w:ascii="Times New Roman" w:hAnsi="Times New Roman"/>
          <w:color w:val="000000"/>
          <w:spacing w:val="-2"/>
        </w:rPr>
        <w:t xml:space="preserve"> uzyskiwania zezwoleń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60D78">
        <w:rPr>
          <w:rFonts w:ascii="Times New Roman" w:hAnsi="Times New Roman"/>
          <w:color w:val="000000"/>
          <w:spacing w:val="-2"/>
        </w:rPr>
        <w:lastRenderedPageBreak/>
        <w:t>administracyjnych w stosunku do materiałów wytwarzanych i ponownie wykorzystywanych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60D78">
        <w:rPr>
          <w:rFonts w:ascii="Times New Roman" w:hAnsi="Times New Roman"/>
          <w:color w:val="000000"/>
          <w:spacing w:val="-2"/>
        </w:rPr>
        <w:t xml:space="preserve">na budowie w związku z ich </w:t>
      </w:r>
      <w:r>
        <w:rPr>
          <w:rFonts w:ascii="Times New Roman" w:hAnsi="Times New Roman"/>
          <w:color w:val="000000"/>
          <w:spacing w:val="-2"/>
        </w:rPr>
        <w:t>klasyfikacją jako odpad, pod warunkiem spełnienia określonych kryteriów.</w:t>
      </w:r>
    </w:p>
    <w:bookmarkEnd w:id="2"/>
    <w:p w14:paraId="5322825D" w14:textId="67A22628" w:rsidR="00AB113D" w:rsidRDefault="00CF487C" w:rsidP="00AB113D">
      <w:pPr>
        <w:pStyle w:val="ARTartustawynprozporzdzenia"/>
      </w:pPr>
      <w:r>
        <w:t xml:space="preserve">Należy podkreślić, że </w:t>
      </w:r>
      <w:r w:rsidR="007A214F">
        <w:t>przepis</w:t>
      </w:r>
      <w:r w:rsidR="00166BD5">
        <w:t>y</w:t>
      </w:r>
      <w:r w:rsidR="007A214F">
        <w:t xml:space="preserve"> rozporządzenia nie będą miały zastosowania do destruktu asfaltowego z frezowania, poddawanego recyklingowi na tej samej drodze i bezpośrednio po procesie frezowania, np. w przypadku urządzenia, które jednocześnie frezuje i kładzie nową nawierzchnię. Wówczas nie</w:t>
      </w:r>
      <w:r w:rsidR="00166BD5">
        <w:t xml:space="preserve"> </w:t>
      </w:r>
      <w:r w:rsidR="007A214F">
        <w:t>następuje wytworzenie odpadów.</w:t>
      </w:r>
      <w:r w:rsidR="00AB113D">
        <w:t xml:space="preserve"> </w:t>
      </w:r>
    </w:p>
    <w:p w14:paraId="384E2DE1" w14:textId="2BD45703" w:rsidR="007A214F" w:rsidRDefault="00C92F82" w:rsidP="007A214F">
      <w:pPr>
        <w:pStyle w:val="ARTartustawynprozporzdzenia"/>
      </w:pPr>
      <w:r w:rsidRPr="00C92F82">
        <w:t xml:space="preserve">§ </w:t>
      </w:r>
      <w:r w:rsidR="008D448A">
        <w:t xml:space="preserve">1 </w:t>
      </w:r>
      <w:r w:rsidR="00361561">
        <w:t xml:space="preserve">projektu rozporządzenia </w:t>
      </w:r>
      <w:r>
        <w:t>zawiera de</w:t>
      </w:r>
      <w:r w:rsidRPr="00C92F82">
        <w:t>finicje</w:t>
      </w:r>
      <w:r>
        <w:t xml:space="preserve"> </w:t>
      </w:r>
      <w:r w:rsidR="009A13FD">
        <w:t>pojęć</w:t>
      </w:r>
      <w:r>
        <w:t xml:space="preserve"> stosowanych w projekcie.</w:t>
      </w:r>
      <w:r w:rsidR="009A13FD">
        <w:t xml:space="preserve"> Są to: </w:t>
      </w:r>
      <w:r w:rsidR="009A13FD" w:rsidRPr="009A13FD">
        <w:t>odpad</w:t>
      </w:r>
      <w:r w:rsidR="00361561">
        <w:t xml:space="preserve">y </w:t>
      </w:r>
      <w:r w:rsidR="009A13FD" w:rsidRPr="009A13FD">
        <w:t>destruktu asfaltowego</w:t>
      </w:r>
      <w:r w:rsidR="009A13FD">
        <w:t>, destrukt asfaltowy</w:t>
      </w:r>
      <w:r w:rsidR="00A7073D">
        <w:t>,</w:t>
      </w:r>
      <w:r w:rsidR="008E4577">
        <w:t xml:space="preserve"> </w:t>
      </w:r>
      <w:r w:rsidR="009A13FD" w:rsidRPr="009A13FD">
        <w:t>posiadacz odpadów destruktu asfaltowego</w:t>
      </w:r>
      <w:r w:rsidR="00A7073D" w:rsidRPr="00A7073D">
        <w:t xml:space="preserve"> </w:t>
      </w:r>
      <w:r w:rsidR="00A7073D">
        <w:t>oraz próbki</w:t>
      </w:r>
      <w:r w:rsidR="009A13FD">
        <w:t>.</w:t>
      </w:r>
    </w:p>
    <w:p w14:paraId="2A42D573" w14:textId="7D7A3B90" w:rsidR="00C92F82" w:rsidRDefault="00C92F82" w:rsidP="007A214F">
      <w:pPr>
        <w:pStyle w:val="ARTartustawynprozporzdzenia"/>
      </w:pPr>
      <w:r>
        <w:t xml:space="preserve">W </w:t>
      </w:r>
      <w:r w:rsidRPr="00C92F82">
        <w:t xml:space="preserve">§ </w:t>
      </w:r>
      <w:r w:rsidR="008D448A">
        <w:t xml:space="preserve">2 </w:t>
      </w:r>
      <w:r>
        <w:t xml:space="preserve">projektu </w:t>
      </w:r>
      <w:r w:rsidR="00FF3401">
        <w:t xml:space="preserve">rozporządzenia </w:t>
      </w:r>
      <w:r>
        <w:t xml:space="preserve">określone zostały </w:t>
      </w:r>
      <w:r w:rsidR="00626768">
        <w:t>kryteria</w:t>
      </w:r>
      <w:r w:rsidRPr="00C92F82">
        <w:t xml:space="preserve"> utraty statusu odpadów </w:t>
      </w:r>
      <w:r w:rsidRPr="00D64CCE">
        <w:t>dla odpadów</w:t>
      </w:r>
      <w:r>
        <w:t xml:space="preserve"> </w:t>
      </w:r>
      <w:r w:rsidRPr="00C92F82">
        <w:t>destruktu asfaltowego</w:t>
      </w:r>
      <w:r>
        <w:t>, które muszą być spełnione łącznie</w:t>
      </w:r>
      <w:r w:rsidR="00166BD5">
        <w:t>, tj.</w:t>
      </w:r>
      <w:r>
        <w:t xml:space="preserve">: </w:t>
      </w:r>
    </w:p>
    <w:p w14:paraId="2F2BC2BE" w14:textId="5EE18645" w:rsidR="00626768" w:rsidRDefault="009A13FD" w:rsidP="00CA4ADC">
      <w:pPr>
        <w:pStyle w:val="ARTartustawynprozporzdzenia"/>
        <w:numPr>
          <w:ilvl w:val="0"/>
          <w:numId w:val="2"/>
        </w:numPr>
      </w:pPr>
      <w:r>
        <w:t>o</w:t>
      </w:r>
      <w:r w:rsidRPr="009A13FD">
        <w:t xml:space="preserve">dpady destruktu asfaltowego </w:t>
      </w:r>
      <w:r w:rsidR="00C92F82">
        <w:t>nie są zanieczyszczone substancjami innymi niż te, które są stosowane w ramach produkcji mieszanek mineralno-asfaltowych oraz ich stosowania i normalnego użytkowania</w:t>
      </w:r>
      <w:r w:rsidR="00626768">
        <w:t xml:space="preserve"> oraz są </w:t>
      </w:r>
      <w:r w:rsidR="00A7073D">
        <w:t>przetwarzane w procesie odzysku R5 lub R12;</w:t>
      </w:r>
    </w:p>
    <w:p w14:paraId="0E3B0A3C" w14:textId="265E4C02" w:rsidR="003F5B47" w:rsidRPr="000F0FB2" w:rsidRDefault="003F5B47" w:rsidP="00CA4ADC">
      <w:pPr>
        <w:pStyle w:val="ARTartustawynprozporzdzenia"/>
        <w:numPr>
          <w:ilvl w:val="0"/>
          <w:numId w:val="2"/>
        </w:numPr>
      </w:pPr>
      <w:r w:rsidRPr="00F91458">
        <w:t xml:space="preserve">łączna ilość wielopierścieniowych węglowodorów aromatycznych </w:t>
      </w:r>
      <w:r w:rsidR="00A7073D">
        <w:t xml:space="preserve">oraz ilość benzo(a)pirenu </w:t>
      </w:r>
      <w:r w:rsidRPr="00F91458">
        <w:t>w próbce</w:t>
      </w:r>
      <w:r w:rsidRPr="000F0FB2">
        <w:t xml:space="preserve"> odpadów destruktu asfaltowego nie przekracza maksymalnego dopuszczalnego stężenia określonego w tabeli nr 1 w załączniku nr 1 do rozporządzenia albo postępowanie przy oznaczaniu obecności wielopierścieniowych węglowodorów aromatycznych metodą</w:t>
      </w:r>
      <w:r w:rsidR="00A7073D">
        <w:t xml:space="preserve"> uproszczoną</w:t>
      </w:r>
      <w:r w:rsidRPr="000F0FB2">
        <w:t>, o</w:t>
      </w:r>
      <w:r w:rsidR="00FF3401">
        <w:t xml:space="preserve"> </w:t>
      </w:r>
      <w:r w:rsidRPr="000F0FB2">
        <w:t>której mowa w załączniku nr 2, kończy się wynikiem negatywnym - w przypadku odpadów destruktu asfaltowego, dla których istnieją dowody, że powstały z mieszanki mineralno-asfaltowej</w:t>
      </w:r>
      <w:r w:rsidR="00AA2554">
        <w:t xml:space="preserve"> </w:t>
      </w:r>
      <w:r w:rsidR="00AA2554" w:rsidRPr="00AA2554">
        <w:t>wykorzystanej do budowy, przebudowy lub remontu dróg i wyprodukowanej po dniu 31 grudnia 2000 r.</w:t>
      </w:r>
      <w:r w:rsidRPr="000F0FB2">
        <w:t>;</w:t>
      </w:r>
    </w:p>
    <w:p w14:paraId="16AB1750" w14:textId="5FF63349" w:rsidR="00C92F82" w:rsidRDefault="00A7073D" w:rsidP="00626768">
      <w:pPr>
        <w:pStyle w:val="ARTartustawynprozporzdzenia"/>
        <w:numPr>
          <w:ilvl w:val="0"/>
          <w:numId w:val="2"/>
        </w:numPr>
      </w:pPr>
      <w:r>
        <w:t xml:space="preserve">otrzymany w procesie odzysku destrukt asfaltowy będzie zgodny </w:t>
      </w:r>
      <w:r w:rsidR="00AA2554">
        <w:t xml:space="preserve">co najmniej </w:t>
      </w:r>
      <w:r>
        <w:t>z normą PN-EN 13108-8;</w:t>
      </w:r>
      <w:r w:rsidR="00E834DE">
        <w:t xml:space="preserve"> </w:t>
      </w:r>
    </w:p>
    <w:p w14:paraId="55181516" w14:textId="769CF409" w:rsidR="003F5B47" w:rsidRPr="000F0FB2" w:rsidRDefault="00C92F82" w:rsidP="003F5B47">
      <w:pPr>
        <w:pStyle w:val="PKTpunkt"/>
      </w:pPr>
      <w:r>
        <w:t>4)</w:t>
      </w:r>
      <w:r>
        <w:tab/>
      </w:r>
      <w:r w:rsidR="003F5B47" w:rsidRPr="00116154">
        <w:t xml:space="preserve">odciek próbki </w:t>
      </w:r>
      <w:r w:rsidR="003F5B47" w:rsidRPr="000F0FB2">
        <w:t>nie przekracza maksymalnych dopuszczalnych stężeń określonych w załączniku nr 3 do rozporządzenia</w:t>
      </w:r>
      <w:r w:rsidR="003F5B47">
        <w:t>;</w:t>
      </w:r>
    </w:p>
    <w:p w14:paraId="17EDD1D9" w14:textId="74E8583F" w:rsidR="003F5B47" w:rsidRDefault="003F5B47" w:rsidP="003F5B47">
      <w:pPr>
        <w:pStyle w:val="PKTpunkt"/>
      </w:pPr>
      <w:r>
        <w:t>5)</w:t>
      </w:r>
      <w:r>
        <w:tab/>
      </w:r>
      <w:r w:rsidRPr="000F0FB2">
        <w:t xml:space="preserve">pobranie próbek </w:t>
      </w:r>
      <w:r w:rsidR="00A7073D">
        <w:t xml:space="preserve">następuje </w:t>
      </w:r>
      <w:r w:rsidRPr="000F0FB2">
        <w:t xml:space="preserve">zgodnie z przepisami, o których mowa w </w:t>
      </w:r>
      <w:r w:rsidRPr="008E4577">
        <w:rPr>
          <w:rStyle w:val="Ppogrubienie"/>
          <w:b w:val="0"/>
        </w:rPr>
        <w:t xml:space="preserve">§ </w:t>
      </w:r>
      <w:r w:rsidR="008D448A">
        <w:rPr>
          <w:rStyle w:val="Ppogrubienie"/>
          <w:b w:val="0"/>
        </w:rPr>
        <w:t>3</w:t>
      </w:r>
      <w:r w:rsidR="008D448A" w:rsidRPr="000F0FB2">
        <w:t xml:space="preserve"> </w:t>
      </w:r>
      <w:r w:rsidRPr="000F0FB2">
        <w:t xml:space="preserve">i </w:t>
      </w:r>
      <w:r w:rsidR="008E0531">
        <w:t xml:space="preserve">ich </w:t>
      </w:r>
      <w:r w:rsidRPr="000F0FB2">
        <w:t xml:space="preserve">wykonanie </w:t>
      </w:r>
      <w:r w:rsidR="008E0531">
        <w:t xml:space="preserve">ma być przeprowadzone </w:t>
      </w:r>
      <w:r w:rsidRPr="000F0FB2">
        <w:t xml:space="preserve">przez jednostki wymienione </w:t>
      </w:r>
      <w:r w:rsidRPr="008E4577">
        <w:t>w</w:t>
      </w:r>
      <w:r w:rsidRPr="008E4577">
        <w:rPr>
          <w:b/>
        </w:rPr>
        <w:t xml:space="preserve"> </w:t>
      </w:r>
      <w:r w:rsidRPr="008E4577">
        <w:rPr>
          <w:rStyle w:val="Ppogrubienie"/>
          <w:b w:val="0"/>
        </w:rPr>
        <w:t xml:space="preserve">§ </w:t>
      </w:r>
      <w:r w:rsidR="008D448A">
        <w:rPr>
          <w:rStyle w:val="Ppogrubienie"/>
          <w:b w:val="0"/>
        </w:rPr>
        <w:t>3</w:t>
      </w:r>
      <w:r w:rsidR="008D448A" w:rsidRPr="000F0FB2">
        <w:t xml:space="preserve"> </w:t>
      </w:r>
      <w:r w:rsidRPr="000F0FB2">
        <w:t>ust. 2</w:t>
      </w:r>
      <w:r w:rsidR="008D448A">
        <w:t>;</w:t>
      </w:r>
    </w:p>
    <w:p w14:paraId="6C4C64CB" w14:textId="7ED93C7C" w:rsidR="008D448A" w:rsidRPr="000F0FB2" w:rsidRDefault="008D448A" w:rsidP="008D448A">
      <w:pPr>
        <w:pStyle w:val="PKTpunkt"/>
      </w:pPr>
      <w:r>
        <w:t>6)</w:t>
      </w:r>
      <w:r w:rsidR="007B3D88">
        <w:t xml:space="preserve">   </w:t>
      </w:r>
      <w:r w:rsidRPr="00320634">
        <w:t>otrzymany w procesie odzysku destrukt asfaltowy może zostać wykorzystany do budowy, przebudowy lub remontu dróg</w:t>
      </w:r>
      <w:r>
        <w:t>,</w:t>
      </w:r>
      <w:r w:rsidRPr="00320634">
        <w:t xml:space="preserve"> w tym utwardzania placów i poboczy</w:t>
      </w:r>
      <w:r>
        <w:t>,</w:t>
      </w:r>
      <w:r w:rsidRPr="00320634">
        <w:t xml:space="preserve"> </w:t>
      </w:r>
      <w:r>
        <w:t>lub</w:t>
      </w:r>
      <w:r w:rsidRPr="00320634">
        <w:t xml:space="preserve"> infrastruktury </w:t>
      </w:r>
      <w:r w:rsidRPr="00320634">
        <w:lastRenderedPageBreak/>
        <w:t>lotniskowej, w tym dróg startowych, dróg kołowania, pasów lotniskowych i płyt postojowych</w:t>
      </w:r>
      <w:r>
        <w:t>.</w:t>
      </w:r>
    </w:p>
    <w:p w14:paraId="3EAE758A" w14:textId="108E6D70" w:rsidR="00325AAD" w:rsidRDefault="0026475F" w:rsidP="003F5B47">
      <w:pPr>
        <w:pStyle w:val="ARTartustawynprozporzdzenia"/>
      </w:pPr>
      <w:r>
        <w:t>Należy podkreślić, że z</w:t>
      </w:r>
      <w:r w:rsidR="003F5B47">
        <w:t xml:space="preserve">godnie z § </w:t>
      </w:r>
      <w:r w:rsidR="008D448A">
        <w:t xml:space="preserve">2 </w:t>
      </w:r>
      <w:r w:rsidR="003F5B47">
        <w:t xml:space="preserve">ust. 2 warunki dotyczące </w:t>
      </w:r>
      <w:r w:rsidR="003F5B47" w:rsidRPr="00B676F5">
        <w:t>stęże</w:t>
      </w:r>
      <w:r w:rsidR="003F5B47">
        <w:t>ń</w:t>
      </w:r>
      <w:r w:rsidR="003F5B47" w:rsidRPr="00B676F5">
        <w:t xml:space="preserve"> odcieku próbki </w:t>
      </w:r>
      <w:r w:rsidR="003F5B47">
        <w:t xml:space="preserve">nie będą mieć zastosowania w przypadku </w:t>
      </w:r>
      <w:r w:rsidR="003F5B47" w:rsidRPr="00B676F5">
        <w:t xml:space="preserve">odpadów destruktu asfaltowego, dla których istnieją wiarygodne dowody, że powstały z mieszanki mineralno-asfaltowej wyprodukowanej po </w:t>
      </w:r>
      <w:r w:rsidR="003F5B47">
        <w:t xml:space="preserve">dniu 31 grudnia </w:t>
      </w:r>
      <w:r w:rsidR="003F5B47" w:rsidRPr="00B676F5">
        <w:t>2000 r., wykorzystane</w:t>
      </w:r>
      <w:r w:rsidR="003F5B47">
        <w:t>j</w:t>
      </w:r>
      <w:r w:rsidR="003F5B47" w:rsidRPr="00B676F5">
        <w:t xml:space="preserve"> do budowy, przebudowy lub remontu dróg</w:t>
      </w:r>
      <w:r w:rsidR="003F5B47">
        <w:t xml:space="preserve">. </w:t>
      </w:r>
      <w:r>
        <w:t>Przyjmuje się, że odpady te nie będą zawierały wielopierścieniowych węglowodorów aromatycznych</w:t>
      </w:r>
      <w:r w:rsidR="001E54E2">
        <w:t>,</w:t>
      </w:r>
      <w:r>
        <w:t xml:space="preserve"> co zostanie potwierdzone wynikiem negatywnym</w:t>
      </w:r>
      <w:r w:rsidRPr="00D64CCE">
        <w:t xml:space="preserve"> przy oznaczaniu obecności wielopierścieniowych węglowodorów aromatycznych metodą, o której mowa w załączniku nr 2</w:t>
      </w:r>
      <w:r w:rsidR="00FF3401">
        <w:t xml:space="preserve"> do projektu rozporządzenia.</w:t>
      </w:r>
      <w:r w:rsidR="00E834DE">
        <w:t xml:space="preserve"> </w:t>
      </w:r>
      <w:r w:rsidR="00B9563C" w:rsidRPr="00B9563C">
        <w:t>Data graniczna 31</w:t>
      </w:r>
      <w:r w:rsidR="00B9563C">
        <w:t xml:space="preserve"> grudnia </w:t>
      </w:r>
      <w:r w:rsidR="00B9563C" w:rsidRPr="00B9563C">
        <w:t>2000 r. stanowi cezurę czasową</w:t>
      </w:r>
      <w:r w:rsidR="00B9563C">
        <w:t>,</w:t>
      </w:r>
      <w:r w:rsidR="00B9563C" w:rsidRPr="00B9563C">
        <w:t xml:space="preserve"> od której można przyjąć pewność stosowania wyłącznie asfaltów naftowych do budowy dróg. Przed tą datą stosowane były</w:t>
      </w:r>
      <w:r w:rsidR="00B9563C">
        <w:t xml:space="preserve"> również inne </w:t>
      </w:r>
      <w:r w:rsidR="00B9563C" w:rsidRPr="00B9563C">
        <w:t>mieszanki lub nie istnieje stosowna dokumentacja</w:t>
      </w:r>
      <w:r w:rsidR="00B9563C">
        <w:t>.</w:t>
      </w:r>
    </w:p>
    <w:p w14:paraId="4C3692D1" w14:textId="134C51D7" w:rsidR="00AA2554" w:rsidRDefault="00AA2554" w:rsidP="00AA2554">
      <w:pPr>
        <w:pStyle w:val="ARTartustawynprozporzdzenia"/>
        <w:ind w:firstLine="0"/>
      </w:pPr>
      <w:r>
        <w:t xml:space="preserve">Wymóg dotyczący </w:t>
      </w:r>
      <w:r w:rsidRPr="00B676F5">
        <w:t>stęże</w:t>
      </w:r>
      <w:r>
        <w:t>ń</w:t>
      </w:r>
      <w:r w:rsidRPr="00B676F5">
        <w:t xml:space="preserve"> odcieku próbki </w:t>
      </w:r>
      <w:r>
        <w:t xml:space="preserve">nie będzie dotyczył również odpadów destruktu asfaltowego uzyskanych z </w:t>
      </w:r>
      <w:r w:rsidRPr="00AA2554">
        <w:t>odrzutów lub nadwyżek powstałych przy produkcji mieszanki mineralno-asfaltowej</w:t>
      </w:r>
      <w:r>
        <w:t xml:space="preserve">, gdyż nie przewiduje się tam znacznego występowania WWA. </w:t>
      </w:r>
    </w:p>
    <w:p w14:paraId="07EBF85D" w14:textId="4309219A" w:rsidR="00AA2554" w:rsidRDefault="00AA2554" w:rsidP="00AA2554">
      <w:pPr>
        <w:pStyle w:val="USTustnpkodeksu"/>
      </w:pPr>
      <w:r>
        <w:t xml:space="preserve">Zgodnie z § </w:t>
      </w:r>
      <w:r w:rsidR="008D448A">
        <w:t xml:space="preserve">2 </w:t>
      </w:r>
      <w:r>
        <w:t xml:space="preserve">pkt 2 jako jedno z kryteriów podano </w:t>
      </w:r>
      <w:r w:rsidRPr="000F0FB2">
        <w:t>maksymaln</w:t>
      </w:r>
      <w:r>
        <w:t>e</w:t>
      </w:r>
      <w:r w:rsidRPr="000F0FB2">
        <w:t xml:space="preserve"> dopuszczalne</w:t>
      </w:r>
      <w:r>
        <w:t xml:space="preserve"> </w:t>
      </w:r>
      <w:r w:rsidRPr="000F0FB2">
        <w:t>stężeni</w:t>
      </w:r>
      <w:r>
        <w:t>e</w:t>
      </w:r>
      <w:r w:rsidRPr="000F0FB2">
        <w:t xml:space="preserve"> </w:t>
      </w:r>
      <w:r>
        <w:t xml:space="preserve">benzo(a)pirenu </w:t>
      </w:r>
      <w:r w:rsidRPr="00F91458">
        <w:t>w próbce</w:t>
      </w:r>
      <w:r w:rsidRPr="000F0FB2">
        <w:t xml:space="preserve"> </w:t>
      </w:r>
      <w:r>
        <w:t xml:space="preserve">tj. 50 mg/kg suchej masy. Jeśli zawartość benzo(a)pirenu </w:t>
      </w:r>
      <w:r>
        <w:br/>
        <w:t xml:space="preserve">w destrukcie asfaltowym przekracza 50 mg/kg suchej masy wówczas destrukt asfaltowy stanowi odpad niebezpieczny sklasyfikowany zgodnie z przepisami rozporządzenia Ministra Klimatu z dnia 2 stycznia 2020 r. w sprawie katalogu odpadów (Dz.U. poz. 10) jako odpad 17 03 01* – mieszanki bitumiczne zawierające smołę węglową i nie będzie podlegać pod przepisy niniejszego rozporządzenia. </w:t>
      </w:r>
    </w:p>
    <w:p w14:paraId="65861C67" w14:textId="50BB8E13" w:rsidR="00C92F82" w:rsidRDefault="00C92F82" w:rsidP="00FF3401">
      <w:pPr>
        <w:pStyle w:val="USTustnpkodeksu"/>
      </w:pPr>
      <w:r w:rsidRPr="00FF3401">
        <w:t xml:space="preserve">W celu potwierdzenia spełnienia </w:t>
      </w:r>
      <w:r w:rsidR="00B90C70" w:rsidRPr="00FF3401">
        <w:t xml:space="preserve">ww. </w:t>
      </w:r>
      <w:r w:rsidRPr="00FF3401">
        <w:t>kryteriów należy pobrać próbki i wykonać od</w:t>
      </w:r>
      <w:r w:rsidR="009A13FD" w:rsidRPr="00FF3401">
        <w:t xml:space="preserve">powiednie badania. Wymagania odnośnie </w:t>
      </w:r>
      <w:r w:rsidR="009B01C3">
        <w:t xml:space="preserve">do </w:t>
      </w:r>
      <w:r w:rsidR="009A13FD" w:rsidRPr="00FF3401">
        <w:t>pobierania próbek i bada</w:t>
      </w:r>
      <w:r w:rsidR="00B90C70" w:rsidRPr="00FF3401">
        <w:t xml:space="preserve">ń </w:t>
      </w:r>
      <w:r w:rsidR="009A13FD" w:rsidRPr="00FF3401">
        <w:t>laboratoryjn</w:t>
      </w:r>
      <w:r w:rsidR="00B90C70" w:rsidRPr="00FF3401">
        <w:t xml:space="preserve">ych </w:t>
      </w:r>
      <w:r w:rsidR="009A13FD" w:rsidRPr="00FF3401">
        <w:t xml:space="preserve">zawarte są w </w:t>
      </w:r>
      <w:r w:rsidR="00361561" w:rsidRPr="00FF3401">
        <w:t xml:space="preserve">§ </w:t>
      </w:r>
      <w:r w:rsidR="008D448A">
        <w:t>3</w:t>
      </w:r>
      <w:r w:rsidR="008D448A" w:rsidRPr="00FF3401">
        <w:t xml:space="preserve"> </w:t>
      </w:r>
      <w:r w:rsidR="00361561" w:rsidRPr="00FF3401">
        <w:t xml:space="preserve">oraz w załączniku nr 4 </w:t>
      </w:r>
      <w:r w:rsidR="00E834DE">
        <w:t xml:space="preserve">projektu rozporządzenia, </w:t>
      </w:r>
      <w:r w:rsidR="00361561" w:rsidRPr="00FF3401">
        <w:t>dotyczącym minimalnej liczby pobranych próbek</w:t>
      </w:r>
      <w:r w:rsidR="009D1F01" w:rsidRPr="00FF3401">
        <w:t xml:space="preserve"> i sposobu ich poboru</w:t>
      </w:r>
      <w:r w:rsidR="00361561" w:rsidRPr="00FF3401">
        <w:t>.</w:t>
      </w:r>
      <w:r w:rsidR="009D1F01" w:rsidRPr="00FF3401">
        <w:t xml:space="preserve"> </w:t>
      </w:r>
      <w:r w:rsidR="00616547">
        <w:t>Metoda</w:t>
      </w:r>
      <w:r w:rsidR="007B3D88">
        <w:t xml:space="preserve">  </w:t>
      </w:r>
      <w:r w:rsidR="009D1F01" w:rsidRPr="00FF3401">
        <w:t>pobiera</w:t>
      </w:r>
      <w:r w:rsidR="00616547">
        <w:t>nia próbek spełnia co najmniej</w:t>
      </w:r>
      <w:r w:rsidR="009D1F01" w:rsidRPr="00FF3401">
        <w:t xml:space="preserve"> </w:t>
      </w:r>
      <w:r w:rsidR="00616547">
        <w:t>wymagania</w:t>
      </w:r>
      <w:r w:rsidR="009D1F01" w:rsidRPr="00FF3401">
        <w:t xml:space="preserve"> norm</w:t>
      </w:r>
      <w:r w:rsidR="00616547">
        <w:t>y</w:t>
      </w:r>
      <w:r w:rsidR="009D1F01" w:rsidRPr="009D1F01">
        <w:t xml:space="preserve"> PN-EN 14899</w:t>
      </w:r>
      <w:r w:rsidR="00616547">
        <w:t xml:space="preserve"> lub PN-EN 932-1</w:t>
      </w:r>
      <w:r w:rsidR="009D1F01" w:rsidRPr="009D1F01">
        <w:t>, a w przypadku próbek pobieranych metodą odwiertów – norm</w:t>
      </w:r>
      <w:r w:rsidR="00616547">
        <w:t>y</w:t>
      </w:r>
      <w:r w:rsidR="009D1F01" w:rsidRPr="009D1F01">
        <w:t xml:space="preserve"> PN-EN 12697-27.</w:t>
      </w:r>
    </w:p>
    <w:p w14:paraId="4F51E3BC" w14:textId="4AFD7714" w:rsidR="00986F44" w:rsidRDefault="00626768" w:rsidP="00FF3401">
      <w:pPr>
        <w:pStyle w:val="USTustnpkodeksu"/>
      </w:pPr>
      <w:r w:rsidRPr="00626768">
        <w:t xml:space="preserve">Spełnienie warunków utraty przez destrukt asfaltowy statusu odpadów potwierdza posiadacz odpadów destruktu asfaltowego, sporządzając odrębnie dla każdej badanej partii odpadów destruktu asfaltowego </w:t>
      </w:r>
      <w:r w:rsidR="00616547" w:rsidRPr="00A778DB">
        <w:t xml:space="preserve">oświadczenie o zgodności z warunkami utraty statusu </w:t>
      </w:r>
      <w:r w:rsidR="00616547" w:rsidRPr="00A778DB">
        <w:lastRenderedPageBreak/>
        <w:t>odpadów</w:t>
      </w:r>
      <w:r w:rsidRPr="00626768">
        <w:t xml:space="preserve">, o </w:t>
      </w:r>
      <w:r w:rsidR="00616547" w:rsidRPr="00626768">
        <w:t>któr</w:t>
      </w:r>
      <w:r w:rsidR="00616547">
        <w:t xml:space="preserve">ym </w:t>
      </w:r>
      <w:r w:rsidRPr="00626768">
        <w:t xml:space="preserve">mowa w § </w:t>
      </w:r>
      <w:r w:rsidR="008D448A">
        <w:t>4</w:t>
      </w:r>
      <w:r w:rsidR="008D448A" w:rsidRPr="00626768">
        <w:t xml:space="preserve"> </w:t>
      </w:r>
      <w:r w:rsidRPr="00626768">
        <w:t xml:space="preserve">projektu rozporządzenia, zgodnie z postanowieniami § </w:t>
      </w:r>
      <w:r w:rsidR="008D448A">
        <w:t>2</w:t>
      </w:r>
      <w:r w:rsidR="008D448A" w:rsidRPr="00626768">
        <w:t xml:space="preserve"> </w:t>
      </w:r>
      <w:r w:rsidRPr="00626768">
        <w:t>ust. 3 projektu rozporządzenia.</w:t>
      </w:r>
    </w:p>
    <w:p w14:paraId="1B2C0884" w14:textId="172AC75C" w:rsidR="007A214F" w:rsidRDefault="009D1F01" w:rsidP="00361561">
      <w:pPr>
        <w:pStyle w:val="ARTartustawynprozporzdzenia"/>
      </w:pPr>
      <w:r>
        <w:t xml:space="preserve">Wymagania dotyczące </w:t>
      </w:r>
      <w:r w:rsidR="0088476A" w:rsidRPr="00A778DB">
        <w:t>oświadczeni</w:t>
      </w:r>
      <w:r w:rsidR="0088476A">
        <w:t>a</w:t>
      </w:r>
      <w:r w:rsidR="0088476A" w:rsidRPr="00A778DB">
        <w:t xml:space="preserve"> </w:t>
      </w:r>
      <w:r w:rsidR="00616547" w:rsidRPr="00A778DB">
        <w:t>o zgodności z warunkami utraty statusu odpadów</w:t>
      </w:r>
      <w:r>
        <w:t xml:space="preserve">, </w:t>
      </w:r>
      <w:r w:rsidR="00616547">
        <w:t xml:space="preserve">sporządzanego </w:t>
      </w:r>
      <w:r w:rsidR="00361561">
        <w:t xml:space="preserve">w celu potwierdzenia spełnienia wymaganych kryteriów utraty statusu odpadów, </w:t>
      </w:r>
      <w:r w:rsidR="008E4577">
        <w:t>zawarte są w</w:t>
      </w:r>
      <w:r w:rsidR="00361561">
        <w:t xml:space="preserve"> § </w:t>
      </w:r>
      <w:r w:rsidR="008D448A">
        <w:t xml:space="preserve">4 </w:t>
      </w:r>
      <w:r w:rsidR="00FF3401">
        <w:t>projektu rozporządzenia</w:t>
      </w:r>
      <w:r w:rsidR="008E4577">
        <w:t xml:space="preserve">. </w:t>
      </w:r>
      <w:r w:rsidR="00616547">
        <w:t>Oświadczenie to</w:t>
      </w:r>
      <w:r w:rsidR="008E4577">
        <w:t xml:space="preserve"> </w:t>
      </w:r>
      <w:r w:rsidR="001E54E2" w:rsidRPr="001E54E2">
        <w:t xml:space="preserve">jest </w:t>
      </w:r>
      <w:r w:rsidR="00361561">
        <w:t>przedkładan</w:t>
      </w:r>
      <w:r w:rsidR="00616547">
        <w:t>e</w:t>
      </w:r>
      <w:r w:rsidR="00361561">
        <w:t xml:space="preserve"> na żądanie wojewódzkiemu inspektorowi ochrony środowiska właściwemu ze względu na miejsce powstania </w:t>
      </w:r>
      <w:r w:rsidR="00986F44">
        <w:t xml:space="preserve">danej partii </w:t>
      </w:r>
      <w:r w:rsidR="00361561">
        <w:t>destruktu asfaltowego</w:t>
      </w:r>
      <w:r w:rsidR="00080B68">
        <w:t xml:space="preserve"> oraz </w:t>
      </w:r>
      <w:r w:rsidR="00080B68" w:rsidRPr="00080B68">
        <w:t>wojewódzkiemu inspektorowi ochrony środowiska właściwemu ze względu na miejsce wykorzystania danego destruktu asfaltowego</w:t>
      </w:r>
      <w:r w:rsidR="00616547">
        <w:t>, w trakcie prowadzenia kontroli</w:t>
      </w:r>
      <w:r w:rsidR="00361561">
        <w:t xml:space="preserve">. Wzór </w:t>
      </w:r>
      <w:r w:rsidR="0088476A">
        <w:t>oświadczenia</w:t>
      </w:r>
      <w:r w:rsidR="00616547">
        <w:t xml:space="preserve"> </w:t>
      </w:r>
      <w:r w:rsidR="00361561">
        <w:t>określa załącznik nr 5</w:t>
      </w:r>
      <w:r w:rsidR="00FF3401">
        <w:t xml:space="preserve"> do projektu rozporządzenia</w:t>
      </w:r>
      <w:r w:rsidR="00361561">
        <w:t xml:space="preserve">. Posiadacz </w:t>
      </w:r>
      <w:r w:rsidR="00FF3401">
        <w:t xml:space="preserve">odpadów destruktu asfaltowego przechowuje </w:t>
      </w:r>
      <w:r w:rsidR="00616547" w:rsidRPr="00A778DB">
        <w:t>oświadczenie o zgodności z warunkami utraty statusu odpadów</w:t>
      </w:r>
      <w:r w:rsidR="00616547">
        <w:t xml:space="preserve"> </w:t>
      </w:r>
      <w:r w:rsidR="00361561">
        <w:t xml:space="preserve">wraz z wynikami badań próbek przez okres 5 lat. </w:t>
      </w:r>
      <w:r w:rsidR="008E4577" w:rsidRPr="008E4577">
        <w:t xml:space="preserve">Do </w:t>
      </w:r>
      <w:r w:rsidR="00616547" w:rsidRPr="00A778DB">
        <w:t>oświadczeni</w:t>
      </w:r>
      <w:r w:rsidR="00616547">
        <w:t>a</w:t>
      </w:r>
      <w:r w:rsidR="00616547" w:rsidRPr="00A778DB">
        <w:t xml:space="preserve"> o zgodności z warunkami utraty statusu odpadów</w:t>
      </w:r>
      <w:r w:rsidR="008E4577" w:rsidRPr="008E4577">
        <w:t xml:space="preserve"> dołącza się sprawozdania z badań lub dokumenty potwierdzające wytworzenie mieszanki</w:t>
      </w:r>
      <w:r w:rsidR="00E834DE">
        <w:t xml:space="preserve"> </w:t>
      </w:r>
      <w:r w:rsidR="008E4577" w:rsidRPr="008E4577">
        <w:t>mineralno-asfaltowej po dniu 31 grudnia 2000 r.</w:t>
      </w:r>
    </w:p>
    <w:p w14:paraId="1175B2C4" w14:textId="311AF5DB" w:rsidR="003827DB" w:rsidRPr="00C31108" w:rsidRDefault="008E4577" w:rsidP="0088476A">
      <w:pPr>
        <w:pStyle w:val="USTustnpkodeksu"/>
      </w:pPr>
      <w:r w:rsidRPr="00E03AEB">
        <w:t xml:space="preserve">§ </w:t>
      </w:r>
      <w:r w:rsidR="008D448A">
        <w:t xml:space="preserve">5 </w:t>
      </w:r>
      <w:r w:rsidR="00FF3401">
        <w:t xml:space="preserve">projektu rozporządzenia </w:t>
      </w:r>
      <w:r>
        <w:t>zaw</w:t>
      </w:r>
      <w:r w:rsidR="00FF3401">
        <w:t>ie</w:t>
      </w:r>
      <w:r>
        <w:t>ra p</w:t>
      </w:r>
      <w:r w:rsidR="00E03AEB">
        <w:t xml:space="preserve">rzepisy dotyczące </w:t>
      </w:r>
      <w:r>
        <w:t xml:space="preserve">wymagań dla </w:t>
      </w:r>
      <w:r w:rsidR="00E03AEB">
        <w:t xml:space="preserve">systemów </w:t>
      </w:r>
      <w:r w:rsidR="007B01C2">
        <w:t>gospodarowania</w:t>
      </w:r>
      <w:r w:rsidR="00E03AEB">
        <w:t xml:space="preserve"> </w:t>
      </w:r>
      <w:r>
        <w:t xml:space="preserve">, które mają na celu </w:t>
      </w:r>
      <w:r w:rsidRPr="008E4577">
        <w:t>umożliwi</w:t>
      </w:r>
      <w:r>
        <w:t>enie</w:t>
      </w:r>
      <w:r w:rsidRPr="008E4577">
        <w:t xml:space="preserve"> wykazani</w:t>
      </w:r>
      <w:r w:rsidR="009B01C3">
        <w:t>a</w:t>
      </w:r>
      <w:r w:rsidRPr="008E4577">
        <w:t xml:space="preserve"> zgodności z kryteriami</w:t>
      </w:r>
      <w:r>
        <w:t xml:space="preserve"> utraty statusu odpadów</w:t>
      </w:r>
      <w:r w:rsidRPr="008E4577">
        <w:t xml:space="preserve">, o których mowa w § </w:t>
      </w:r>
      <w:r w:rsidR="008D448A">
        <w:t>2</w:t>
      </w:r>
      <w:r w:rsidR="00E03AEB" w:rsidRPr="00E03AEB">
        <w:t>.</w:t>
      </w:r>
      <w:r w:rsidR="00DA5895">
        <w:t xml:space="preserve"> </w:t>
      </w:r>
      <w:r w:rsidR="00DA5895" w:rsidRPr="007D0E93">
        <w:rPr>
          <w:rStyle w:val="Ppogrubienie"/>
          <w:b w:val="0"/>
        </w:rPr>
        <w:t xml:space="preserve">Na żądanie </w:t>
      </w:r>
      <w:r w:rsidR="00DA5895">
        <w:t xml:space="preserve">posiadacz odpadów destruktu asfaltowego </w:t>
      </w:r>
      <w:r>
        <w:t xml:space="preserve">udostępnia </w:t>
      </w:r>
      <w:r w:rsidR="00DA5895" w:rsidRPr="00FF3401">
        <w:rPr>
          <w:rStyle w:val="Ppogrubienie"/>
          <w:b w:val="0"/>
        </w:rPr>
        <w:t>właściwym organom</w:t>
      </w:r>
      <w:r>
        <w:rPr>
          <w:rStyle w:val="Ppogrubienie"/>
          <w:b w:val="0"/>
        </w:rPr>
        <w:t xml:space="preserve"> </w:t>
      </w:r>
      <w:r w:rsidR="003827DB">
        <w:rPr>
          <w:rStyle w:val="Ppogrubienie"/>
          <w:b w:val="0"/>
        </w:rPr>
        <w:t xml:space="preserve">inspekcji </w:t>
      </w:r>
      <w:r>
        <w:rPr>
          <w:rStyle w:val="Ppogrubienie"/>
          <w:b w:val="0"/>
        </w:rPr>
        <w:t>ochrony środowiska</w:t>
      </w:r>
      <w:r w:rsidR="003827DB">
        <w:rPr>
          <w:rStyle w:val="Ppogrubienie"/>
          <w:b w:val="0"/>
        </w:rPr>
        <w:t>, w trakcie prowadzenia kontroli,</w:t>
      </w:r>
      <w:r w:rsidR="00616547">
        <w:rPr>
          <w:rStyle w:val="Ppogrubienie"/>
          <w:b w:val="0"/>
        </w:rPr>
        <w:t xml:space="preserve"> </w:t>
      </w:r>
      <w:r>
        <w:rPr>
          <w:rStyle w:val="Ppogrubienie"/>
          <w:b w:val="0"/>
        </w:rPr>
        <w:t>dokumenty związane z</w:t>
      </w:r>
      <w:r w:rsidR="00DA5895" w:rsidRPr="007D0E93">
        <w:rPr>
          <w:rStyle w:val="Ppogrubienie"/>
          <w:b w:val="0"/>
        </w:rPr>
        <w:t xml:space="preserve"> system</w:t>
      </w:r>
      <w:r>
        <w:rPr>
          <w:rStyle w:val="Ppogrubienie"/>
          <w:b w:val="0"/>
        </w:rPr>
        <w:t>em</w:t>
      </w:r>
      <w:r w:rsidR="00DA5895" w:rsidRPr="007D0E93">
        <w:rPr>
          <w:rStyle w:val="Ppogrubienie"/>
          <w:b w:val="0"/>
        </w:rPr>
        <w:t xml:space="preserve"> </w:t>
      </w:r>
      <w:r w:rsidR="003827DB">
        <w:rPr>
          <w:rStyle w:val="Ppogrubienie"/>
          <w:b w:val="0"/>
        </w:rPr>
        <w:t>gospodarowania</w:t>
      </w:r>
      <w:r w:rsidR="00DA5895" w:rsidRPr="007D0E93">
        <w:rPr>
          <w:rStyle w:val="Ppogrubienie"/>
          <w:b w:val="0"/>
        </w:rPr>
        <w:t>.</w:t>
      </w:r>
      <w:r w:rsidR="003827DB">
        <w:rPr>
          <w:rStyle w:val="Ppogrubienie"/>
          <w:b w:val="0"/>
        </w:rPr>
        <w:t xml:space="preserve"> Ponadto </w:t>
      </w:r>
      <w:r w:rsidR="003827DB">
        <w:t>jeżeli posiadacz odpadów destruktu asfaltowego</w:t>
      </w:r>
      <w:r w:rsidR="007B3D88">
        <w:t xml:space="preserve">  </w:t>
      </w:r>
      <w:r w:rsidR="003827DB">
        <w:t xml:space="preserve">jest </w:t>
      </w:r>
      <w:r w:rsidR="003827DB" w:rsidRPr="002E1355">
        <w:t>zarejestrowany w rozumieniu rozporządzenia Parlamentu Europejskiego i Rady (WE) z dnia 25 listopada 2009 nr 1221/2009</w:t>
      </w:r>
      <w:r w:rsidR="007B3D88">
        <w:t xml:space="preserve">  </w:t>
      </w:r>
      <w:r w:rsidR="003827DB" w:rsidRPr="002E1355">
        <w:t>(wdrożony EMAS) oraz posiada</w:t>
      </w:r>
      <w:r w:rsidR="007B3D88">
        <w:t xml:space="preserve">  </w:t>
      </w:r>
      <w:r w:rsidR="003827DB" w:rsidRPr="002E1355">
        <w:t>certyfikację środowiskową EN ISO 14001 wydaną przez akredytowany organ</w:t>
      </w:r>
      <w:r w:rsidR="003827DB">
        <w:t xml:space="preserve"> obejmującą wymagania wskazane w ust. 2, wówczas wymóg wprowadzenia systemu gospodarowania uważa się za spełniony.</w:t>
      </w:r>
    </w:p>
    <w:p w14:paraId="1C0FF1CF" w14:textId="6B57D507" w:rsidR="00DA5895" w:rsidRDefault="00DA5895" w:rsidP="00DA5895">
      <w:pPr>
        <w:pStyle w:val="USTustnpkodeksu"/>
        <w:rPr>
          <w:rStyle w:val="Ppogrubienie"/>
          <w:b w:val="0"/>
        </w:rPr>
      </w:pPr>
    </w:p>
    <w:p w14:paraId="18395371" w14:textId="77777777" w:rsidR="00361A61" w:rsidRPr="00361A61" w:rsidRDefault="00B676F5" w:rsidP="004F77E8">
      <w:pPr>
        <w:pStyle w:val="NIEARTTEKSTtekstnieartykuowanynppodstprawnarozplubpreambua"/>
      </w:pPr>
      <w:r>
        <w:t>P</w:t>
      </w:r>
      <w:r w:rsidR="00D4543B" w:rsidRPr="00043F13">
        <w:t>rojektowane rozporządzenie nie wpływa na działalność mikroprzedsiębiorców, a także małych i średnich przedsiębiorców.</w:t>
      </w:r>
      <w:r w:rsidR="00361A61">
        <w:t xml:space="preserve"> </w:t>
      </w:r>
    </w:p>
    <w:p w14:paraId="6A42D5D0" w14:textId="77777777" w:rsidR="00D4543B" w:rsidRPr="00043F13" w:rsidRDefault="00D4543B" w:rsidP="00D4543B">
      <w:pPr>
        <w:pStyle w:val="NIEARTTEKSTtekstnieartykuowanynppodstprawnarozplubpreambua"/>
      </w:pPr>
      <w:r w:rsidRPr="00043F13">
        <w:t>Projekt rozporządzenia jest zgodny z przepisami prawa Unii Europejskiej.</w:t>
      </w:r>
    </w:p>
    <w:p w14:paraId="21117C82" w14:textId="77777777" w:rsidR="00D4543B" w:rsidRPr="00043F13" w:rsidRDefault="00D4543B" w:rsidP="00D4543B">
      <w:pPr>
        <w:pStyle w:val="NIEARTTEKSTtekstnieartykuowanynppodstprawnarozplubpreambua"/>
      </w:pPr>
      <w:r w:rsidRPr="00D64CCE">
        <w:t>Projekt rozporządzenia zawiera przepis</w:t>
      </w:r>
      <w:r w:rsidR="000E3891" w:rsidRPr="00D64CCE">
        <w:t>y</w:t>
      </w:r>
      <w:r w:rsidRPr="00D64CCE">
        <w:t xml:space="preserve"> techniczn</w:t>
      </w:r>
      <w:r w:rsidR="000E3891" w:rsidRPr="00D64CCE">
        <w:t>e</w:t>
      </w:r>
      <w:r w:rsidRPr="00D64CCE">
        <w:t xml:space="preserve">, w związku z tym podlega notyfikacji zgodnie z przepisami rozporządzenia Rady Ministrów z dnia 23 grudnia 2002 r. </w:t>
      </w:r>
      <w:r w:rsidRPr="00D64CCE">
        <w:br/>
        <w:t>w sprawie sposobu funkcjonowania krajowego systemu notyfikacji norm i aktów prawnych (Dz. U. poz. 2039 oraz z 2004 r. poz. 597).</w:t>
      </w:r>
    </w:p>
    <w:p w14:paraId="36E248F1" w14:textId="77777777" w:rsidR="00D4543B" w:rsidRPr="00043F13" w:rsidRDefault="00D4543B" w:rsidP="00D4543B">
      <w:pPr>
        <w:pStyle w:val="NIEARTTEKSTtekstnieartykuowanynppodstprawnarozplubpreambua"/>
      </w:pPr>
      <w:r w:rsidRPr="00043F13">
        <w:lastRenderedPageBreak/>
        <w:t xml:space="preserve">Projekt nie podlega opiniowaniu, konsultacjom ani uzgodnieniom z organami </w:t>
      </w:r>
      <w:r>
        <w:br/>
      </w:r>
      <w:r w:rsidRPr="00043F13">
        <w:t>i instytucjami Unii Europejskiej, w tym z Europejskim Bankiem Centralnym.</w:t>
      </w:r>
    </w:p>
    <w:p w14:paraId="2215047E" w14:textId="38133DB9" w:rsidR="00D4543B" w:rsidRPr="00043F13" w:rsidRDefault="00D4543B" w:rsidP="00D4543B">
      <w:pPr>
        <w:pStyle w:val="NIEARTTEKSTtekstnieartykuowanynppodstprawnarozplubpreambua"/>
      </w:pPr>
      <w:r w:rsidRPr="00043F13">
        <w:t xml:space="preserve">Stosownie do postanowień art. 5 ustawy z dnia 7 lipca 2005 r. o działalności lobbingowej w procesie stanowienia prawa (Dz. U. z 2017 r. poz. 248) oraz § 52 uchwały nr 190 Rady Ministrów z dnia 29 października 2013 r. – Regulamin pracy Rady Ministrów (M.P. z 2016 r. poz. 1006, z późn. zm.), z chwilą przekazania do uzgodnień członkom Rady Ministrów, projekt rozporządzenia </w:t>
      </w:r>
      <w:r w:rsidR="006E6C6B" w:rsidRPr="00043F13">
        <w:t>zosta</w:t>
      </w:r>
      <w:r w:rsidR="006E6C6B">
        <w:t>ł</w:t>
      </w:r>
      <w:r w:rsidR="006E6C6B" w:rsidRPr="00043F13">
        <w:t xml:space="preserve"> </w:t>
      </w:r>
      <w:r w:rsidRPr="00043F13">
        <w:t>udostępniony w Biuletynie Informacji Publicznej Rządowego Centrum Legislacji na stronie internetowej Rządowego Centrum Legislacji, w serwisie Rządowy Proces Legislacyjny.</w:t>
      </w:r>
      <w:r w:rsidR="006E6C6B">
        <w:t xml:space="preserve"> W trakcie trwania prac nad projektem rozporządzenia odnotowano jedno </w:t>
      </w:r>
      <w:r w:rsidR="006E6C6B">
        <w:rPr>
          <w:rFonts w:eastAsia="Times New Roman"/>
          <w:bCs w:val="0"/>
        </w:rPr>
        <w:t xml:space="preserve">zgłoszenie zainteresowanie pracami nad projektem w trybie przepisów o działalności lobbingowej w procesie stanowienia prawa, które zostało wniesione przez </w:t>
      </w:r>
      <w:r w:rsidR="006E6C6B" w:rsidRPr="006E6C6B">
        <w:rPr>
          <w:rFonts w:eastAsia="Times New Roman"/>
          <w:bCs w:val="0"/>
        </w:rPr>
        <w:t>Polski Koncern Naftowy ORLEN Spółka Akcyjna</w:t>
      </w:r>
      <w:r w:rsidR="006E6C6B">
        <w:rPr>
          <w:rFonts w:eastAsia="Times New Roman"/>
          <w:bCs w:val="0"/>
        </w:rPr>
        <w:t>.</w:t>
      </w:r>
    </w:p>
    <w:p w14:paraId="208A811E" w14:textId="30F3311A" w:rsidR="00DA5895" w:rsidRDefault="00D4543B" w:rsidP="00804AC1">
      <w:pPr>
        <w:pStyle w:val="NIEARTTEKSTtekstnieartykuowanynppodstprawnarozplubpreambua"/>
      </w:pPr>
      <w:r w:rsidRPr="00043F13">
        <w:t>Termin wejścia w życie rozporządzenia został określony w na 14 dni od dnia ogłoszenia</w:t>
      </w:r>
      <w:r w:rsidR="00986F44">
        <w:t xml:space="preserve">, z wyjątkiem przepisu </w:t>
      </w:r>
      <w:r w:rsidR="00986F44" w:rsidRPr="00E03AEB">
        <w:t xml:space="preserve">§ </w:t>
      </w:r>
      <w:r w:rsidR="008D448A">
        <w:t xml:space="preserve">5 </w:t>
      </w:r>
      <w:r w:rsidR="00986F44">
        <w:t xml:space="preserve">projektu rozporządzenia dotyczącego wymagań dla systemów </w:t>
      </w:r>
      <w:r w:rsidR="007B01C2">
        <w:t>gospodarowania</w:t>
      </w:r>
      <w:r w:rsidR="001E54E2">
        <w:t>,</w:t>
      </w:r>
      <w:r w:rsidR="00986F44">
        <w:t xml:space="preserve"> co ma na celu zapewnienie odpowiedniego czasu na dostosowanie tych systemów do wymagań niniejszego rozporządzenia</w:t>
      </w:r>
      <w:r w:rsidR="007B01C2">
        <w:t xml:space="preserve"> (12 miesięcy)</w:t>
      </w:r>
      <w:r w:rsidR="00986F44">
        <w:t>.</w:t>
      </w:r>
    </w:p>
    <w:sectPr w:rsidR="00DA5895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7555" w14:textId="77777777" w:rsidR="00D42DF3" w:rsidRDefault="00D42DF3">
      <w:pPr>
        <w:spacing w:line="240" w:lineRule="auto"/>
      </w:pPr>
      <w:r>
        <w:separator/>
      </w:r>
    </w:p>
  </w:endnote>
  <w:endnote w:type="continuationSeparator" w:id="0">
    <w:p w14:paraId="459EB406" w14:textId="77777777" w:rsidR="00D42DF3" w:rsidRDefault="00D42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F54EF" w14:textId="77777777" w:rsidR="00D42DF3" w:rsidRDefault="00D42DF3">
      <w:pPr>
        <w:spacing w:line="240" w:lineRule="auto"/>
      </w:pPr>
      <w:r>
        <w:separator/>
      </w:r>
    </w:p>
  </w:footnote>
  <w:footnote w:type="continuationSeparator" w:id="0">
    <w:p w14:paraId="0A587AEA" w14:textId="77777777" w:rsidR="00D42DF3" w:rsidRDefault="00D42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1179" w14:textId="5B15D1ED" w:rsidR="00CC3E3D" w:rsidRPr="00B371CC" w:rsidRDefault="00587B6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E7877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2636"/>
    <w:multiLevelType w:val="hybridMultilevel"/>
    <w:tmpl w:val="2730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21E7B"/>
    <w:multiLevelType w:val="hybridMultilevel"/>
    <w:tmpl w:val="269218F6"/>
    <w:lvl w:ilvl="0" w:tplc="D3CE440E">
      <w:start w:val="1"/>
      <w:numFmt w:val="decimal"/>
      <w:lvlText w:val="%1)"/>
      <w:lvlJc w:val="left"/>
      <w:pPr>
        <w:ind w:left="5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3B"/>
    <w:rsid w:val="000159AE"/>
    <w:rsid w:val="00066C6C"/>
    <w:rsid w:val="00080B68"/>
    <w:rsid w:val="000A62FF"/>
    <w:rsid w:val="000B1AC9"/>
    <w:rsid w:val="000E3891"/>
    <w:rsid w:val="000F2FEA"/>
    <w:rsid w:val="000F7BAF"/>
    <w:rsid w:val="00156219"/>
    <w:rsid w:val="00166BD5"/>
    <w:rsid w:val="001720A8"/>
    <w:rsid w:val="00193EB2"/>
    <w:rsid w:val="001D7EC5"/>
    <w:rsid w:val="001E01E0"/>
    <w:rsid w:val="001E54E2"/>
    <w:rsid w:val="0026475F"/>
    <w:rsid w:val="00290F8A"/>
    <w:rsid w:val="00325AAD"/>
    <w:rsid w:val="003537F3"/>
    <w:rsid w:val="00361561"/>
    <w:rsid w:val="00361A61"/>
    <w:rsid w:val="003827DB"/>
    <w:rsid w:val="003A18DC"/>
    <w:rsid w:val="003F5B47"/>
    <w:rsid w:val="004D40D8"/>
    <w:rsid w:val="004E7374"/>
    <w:rsid w:val="004F23FA"/>
    <w:rsid w:val="004F77E8"/>
    <w:rsid w:val="005014BD"/>
    <w:rsid w:val="00534F75"/>
    <w:rsid w:val="00587B6F"/>
    <w:rsid w:val="005A05CC"/>
    <w:rsid w:val="005A57F9"/>
    <w:rsid w:val="005F475A"/>
    <w:rsid w:val="00616547"/>
    <w:rsid w:val="00626768"/>
    <w:rsid w:val="006A031C"/>
    <w:rsid w:val="006E6C6B"/>
    <w:rsid w:val="007427BF"/>
    <w:rsid w:val="00761D3B"/>
    <w:rsid w:val="00792F3F"/>
    <w:rsid w:val="007A214F"/>
    <w:rsid w:val="007B01C2"/>
    <w:rsid w:val="007B3D88"/>
    <w:rsid w:val="007C2891"/>
    <w:rsid w:val="007D378E"/>
    <w:rsid w:val="007E7877"/>
    <w:rsid w:val="00804AC1"/>
    <w:rsid w:val="0083001D"/>
    <w:rsid w:val="00836157"/>
    <w:rsid w:val="0088476A"/>
    <w:rsid w:val="008A0263"/>
    <w:rsid w:val="008D448A"/>
    <w:rsid w:val="008E0531"/>
    <w:rsid w:val="008E4577"/>
    <w:rsid w:val="00917491"/>
    <w:rsid w:val="00986F44"/>
    <w:rsid w:val="009A13FD"/>
    <w:rsid w:val="009B01C3"/>
    <w:rsid w:val="009D1F01"/>
    <w:rsid w:val="00A3590C"/>
    <w:rsid w:val="00A41157"/>
    <w:rsid w:val="00A7073D"/>
    <w:rsid w:val="00AA2554"/>
    <w:rsid w:val="00AB113D"/>
    <w:rsid w:val="00AD492E"/>
    <w:rsid w:val="00AF03BB"/>
    <w:rsid w:val="00B25D87"/>
    <w:rsid w:val="00B61549"/>
    <w:rsid w:val="00B676F5"/>
    <w:rsid w:val="00B84284"/>
    <w:rsid w:val="00B90C70"/>
    <w:rsid w:val="00B9563C"/>
    <w:rsid w:val="00BF611B"/>
    <w:rsid w:val="00C8269D"/>
    <w:rsid w:val="00C92F82"/>
    <w:rsid w:val="00CF487C"/>
    <w:rsid w:val="00D042F0"/>
    <w:rsid w:val="00D42DF3"/>
    <w:rsid w:val="00D4543B"/>
    <w:rsid w:val="00D51269"/>
    <w:rsid w:val="00D64CCE"/>
    <w:rsid w:val="00D816C2"/>
    <w:rsid w:val="00DA4116"/>
    <w:rsid w:val="00DA5895"/>
    <w:rsid w:val="00E03AEB"/>
    <w:rsid w:val="00E54EBC"/>
    <w:rsid w:val="00E665EA"/>
    <w:rsid w:val="00E834DE"/>
    <w:rsid w:val="00EB2613"/>
    <w:rsid w:val="00F551E7"/>
    <w:rsid w:val="00FA7E57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1213"/>
  <w15:chartTrackingRefBased/>
  <w15:docId w15:val="{8103905E-95FF-4245-ADC8-EE212607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43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543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4543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D4543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4543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4543B"/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9A13FD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6F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76F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6F5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6F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A589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F5B4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A7073D"/>
    <w:pPr>
      <w:widowControl/>
      <w:autoSpaceDE/>
      <w:autoSpaceDN/>
      <w:adjustRightInd/>
      <w:ind w:left="986" w:hanging="476"/>
      <w:jc w:val="both"/>
    </w:pPr>
    <w:rPr>
      <w:rFonts w:ascii="Times" w:hAnsi="Times"/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827DB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Sosnowska</dc:creator>
  <cp:keywords/>
  <dc:description/>
  <cp:lastModifiedBy>DARSKA Joanna</cp:lastModifiedBy>
  <cp:revision>2</cp:revision>
  <dcterms:created xsi:type="dcterms:W3CDTF">2021-03-31T06:55:00Z</dcterms:created>
  <dcterms:modified xsi:type="dcterms:W3CDTF">2021-03-31T06:55:00Z</dcterms:modified>
</cp:coreProperties>
</file>