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2612DC2D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77FD"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773978">
              <w:rPr>
                <w:rFonts w:ascii="Arial" w:hAnsi="Arial" w:cs="Arial"/>
                <w:b/>
              </w:rPr>
              <w:t>lutego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FC4BC" w14:textId="77777777" w:rsidR="002277FD" w:rsidRDefault="002277FD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362EE31C" w14:textId="22A30411" w:rsidR="002277FD" w:rsidRPr="002277FD" w:rsidRDefault="002277FD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Najlepsi w „otwartym rządzeniu”</w:t>
      </w:r>
    </w:p>
    <w:p w14:paraId="01D061F7" w14:textId="77777777" w:rsidR="002277FD" w:rsidRPr="002277FD" w:rsidRDefault="002277FD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Laureaci i wyróżnieni w konkursie „Samorządowy Lider Zarządzania 2022”</w:t>
      </w:r>
    </w:p>
    <w:p w14:paraId="0C5D0977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7DE3E551" w14:textId="79494EB2" w:rsidR="002277FD" w:rsidRPr="008131D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8131D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Tychy, Lublin i Wrocław to „Samorządowi Liderzy Zarządzania 2022”. Podczas uroczystej gali 23 lutego w Tarnowie laureaci i wyróżnieni otrzymali statuetki, dyplomy i nagrody. </w:t>
      </w:r>
    </w:p>
    <w:p w14:paraId="17D2F96E" w14:textId="77777777" w:rsidR="002277FD" w:rsidRPr="008131D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8131D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Wśród wyróżnionych są: Niepołomice, Starachowice, Zduńską Wolę, Ostrów Wielkopolski, Gliwice, Siemianowice Śląskie, Częstochowę, Kielce, Poznań, Łódź oraz Gdańsk (wyróżnienie specjalne). </w:t>
      </w:r>
    </w:p>
    <w:p w14:paraId="2AE14E30" w14:textId="6840C503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„Samorządowy Lider Zarządzania 2022” konkurs dla miast odbywał się po  hasłem </w:t>
      </w:r>
      <w:bookmarkStart w:id="1" w:name="_Hlk127968825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„Komunikacja – partycypacja – współzarządzanie”. </w:t>
      </w:r>
      <w:bookmarkEnd w:id="1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Na konkurs wpłynęło 39 wniosków z 31 miast: 18 wniosków z miast i gmin miejsko-wiejskich, 8 - z miast na prawach powiatu oraz 13 z miast będących siedzibami władz województw.</w:t>
      </w:r>
    </w:p>
    <w:p w14:paraId="2081415C" w14:textId="6C5E0485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Komisja konkursowa obradowała w składzie: Maciej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Aulak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dyrektor Departamentu Programów Pomocowych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</w:t>
      </w:r>
      <w:r w:rsidR="00021B1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iPR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Kami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Wieder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naczelnik Wydziału Wydział Wsparcia JST Departament Programów Pomocowych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</w:t>
      </w:r>
      <w:r w:rsidR="00021B1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</w:t>
      </w:r>
      <w:bookmarkStart w:id="2" w:name="_GoBack"/>
      <w:bookmarkEnd w:id="2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iPR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Andrzej Porawski, dyrektor Biura ZMP, Tomasz Potkański, zastępca dyrektora Biura ZMP ds. badań i rozwoju, kierownik projektu „Rozwój Lokalny”, Aleksandra Jadach–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Sepioło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zastępca dyrektora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IRMiR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oraz Wojciech Jarczewski, dyrektor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IRMiR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Podczas jej posiedzenia 19 stycznia 2023 roku omówili przygotowane przez ekspertów rekomendacje dotyczących propozycji wyłonienia laureatów oraz wyróżnień dla jednostek samorządów terytorialnych, które nadesłały wnioski. </w:t>
      </w:r>
    </w:p>
    <w:p w14:paraId="19B5298F" w14:textId="77777777" w:rsidR="002277FD" w:rsidRPr="008131D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 podstawie ocen ekspertów Komisji Konkursowej wyłoniono finalistów konkursu - 30 przedsięwzięć (przesłanych z 24 miast), które uzyskały powyżej 60 punktów: 11 wniosków z miast i gmin miejsko-wiejskich, 8 z miast na prawach powiatu oraz 11 z miast będącymi siedzibami władz województw. Zgodnie z Regulaminem Konkursu finaliści otrzymali dyplom potwierdzający udział w finale Konkursu. </w:t>
      </w:r>
      <w:r w:rsidRPr="008131D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Komisja Konkursowa postanowiła przyznać 3 miastom tytuł laureata konkursu, 10 miastom wyróżnienia oraz jedno wyróżnienie specjalne. Nagrodą dla laureatów oraz specjalnego wyróżnienia jest wyjazd studyjny do Norwegii dla 2 przedstawicieli, a dla wyróżnionych – wyjazd dla jednej osoby z miasta. </w:t>
      </w:r>
    </w:p>
    <w:p w14:paraId="56082332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Galę prowadzili: Joanna Nowaczyk, zastępca dyrektora Biura ZMP oraz Przemysław Cichocki, doradca ZMP w Programie „Rozwój Lokalny”.</w:t>
      </w:r>
    </w:p>
    <w:p w14:paraId="09C1509E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113B239D" w14:textId="37D1A49B" w:rsidR="002277FD" w:rsidRDefault="002277FD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LAUREACI i WYRÓŻNIENI „Samorządowy Lider Zarządzania 2022”</w:t>
      </w:r>
    </w:p>
    <w:p w14:paraId="00A495B8" w14:textId="5AEF9CFB" w:rsidR="002F3D1A" w:rsidRPr="00894906" w:rsidRDefault="002F3D1A" w:rsidP="002277F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894906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Komunikacja – partycypacja – współzarządzanie</w:t>
      </w:r>
    </w:p>
    <w:p w14:paraId="701B006C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4D1E779" w14:textId="583E7BAA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Kategoria: Miasta i gminy miejsko-wiejskie</w:t>
      </w:r>
    </w:p>
    <w:p w14:paraId="23A9D198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4 wyróżnienia:</w:t>
      </w:r>
    </w:p>
    <w:p w14:paraId="44DA7661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Niepołomice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„Innowacyjna forma partnerskiego współdecydowania mieszkańców na przykładzie partycypacyjnego warsztatu terenowego – Błonia Niepołomickie”</w:t>
      </w:r>
    </w:p>
    <w:p w14:paraId="0BFC4FFE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lastRenderedPageBreak/>
        <w:t>Starachowice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dwa przedsięwzięcia „Program Inicjatyw Lokalnych” oraz „Polityka Otwartości Gminy Starachowice – ze szczególnym uwzględnieniem rejestru wydatków publicznych”</w:t>
      </w:r>
    </w:p>
    <w:p w14:paraId="69957433" w14:textId="2F427E1C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Zduńska Wola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dwa przedsięwzięcia „Kalkulator kosztów wymiany pieców węglowych STOP SMOG oraz «„60+ smart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city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– innowacje jako efekt współpracy międzypokoleniowej” – budowa skweru»</w:t>
      </w:r>
    </w:p>
    <w:p w14:paraId="2597B9D2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Ostrów Wielkopolski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„Rewitalizacyjny Budżet Obywatelski w Ostrowie Wielkopolskim jako innowacyjne narzędzie łączące partycypację społeczną z obszarem rewitalizacji”</w:t>
      </w:r>
    </w:p>
    <w:p w14:paraId="3B218D40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</w:p>
    <w:p w14:paraId="48C07957" w14:textId="56EC1D01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Kategoria: Miasta na prawach powiatu</w:t>
      </w:r>
    </w:p>
    <w:p w14:paraId="1AFBE675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LAUREAT</w:t>
      </w:r>
    </w:p>
    <w:p w14:paraId="4CC4E6E7" w14:textId="2B8CAA81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Tychy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„Urzędowo, ale zrozumiale! - projekt Prostego Słowa w Urzędzie Miasta Tychy”</w:t>
      </w:r>
    </w:p>
    <w:p w14:paraId="63D8D3F2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38DB01F0" w14:textId="50839ADC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3 wyróżnienia:</w:t>
      </w:r>
    </w:p>
    <w:p w14:paraId="44E61BBE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Gliwice 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za przedsięwzięcie „Gliwicka Platforma Partycypacyjna – </w:t>
      </w:r>
      <w:proofErr w:type="spellStart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decydujMY</w:t>
      </w:r>
      <w:proofErr w:type="spellEnd"/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razem”</w:t>
      </w:r>
    </w:p>
    <w:p w14:paraId="4AC333C5" w14:textId="5DF59F49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Siemianowice Śląskie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za przedsięwzięcie 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„Utworzenie Banku Danych o Mieście jako narzędzia wspierającego procesy rozwojowe i zarządcze w mieście”</w:t>
      </w:r>
    </w:p>
    <w:p w14:paraId="3DA5EE0C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Częstochowa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«Program „Teraz Lepsza Praca”»</w:t>
      </w:r>
    </w:p>
    <w:p w14:paraId="3BA6B524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1AA2844" w14:textId="32ECA5F0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u w:val="single"/>
          <w:lang w:eastAsia="pl-PL"/>
        </w:rPr>
        <w:t>Kategoria: Miasta będące siedzibami władz wojewódzkich</w:t>
      </w:r>
    </w:p>
    <w:p w14:paraId="17D76D61" w14:textId="7AD443E8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LAUREA</w:t>
      </w:r>
      <w:r w:rsidR="00F102AC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T</w:t>
      </w:r>
    </w:p>
    <w:p w14:paraId="3E8BF050" w14:textId="3C3E07DA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Lublin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„Wymyślmy wspólnie Lublin. Partycypacyjnie tworzymy inteligentną Strategię Lublin 2030” </w:t>
      </w:r>
    </w:p>
    <w:p w14:paraId="32C017AE" w14:textId="6F686373" w:rsidR="00F102AC" w:rsidRPr="00BA7726" w:rsidRDefault="00F102AC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BA7726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LAUREAT</w:t>
      </w:r>
    </w:p>
    <w:p w14:paraId="198F113F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Wrocław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„Konsultacje społeczne z dziećmi i młodzieżą – projekt edukacji partycypacyjnej i obywatelskiej” </w:t>
      </w:r>
    </w:p>
    <w:p w14:paraId="17EBEA2E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0954BBF" w14:textId="057FEE76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4 wyróżnienia:</w:t>
      </w:r>
    </w:p>
    <w:p w14:paraId="1A879829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Gdańsk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- wyróżnienie specjalne  </w:t>
      </w:r>
    </w:p>
    <w:p w14:paraId="5EE51218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za dwa przedsięwzięcia „Warsztaty Projektowe (GWP)” oraz „Gdańskie Centrum Kontaktu – jeden punkt kontaktu dla Mieszkańców”</w:t>
      </w:r>
    </w:p>
    <w:p w14:paraId="14F3FB36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Kielce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„Idea Kielce - Miasto dla ludzi”</w:t>
      </w:r>
    </w:p>
    <w:p w14:paraId="6EF90DF2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Poznań 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za przedsięwzięcie „Poznański Panel Obywatelski”</w:t>
      </w:r>
    </w:p>
    <w:p w14:paraId="6398FA1E" w14:textId="36947C95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Łódź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za przedsięwzięcie „Fabryka Aktywności Miejskiej”</w:t>
      </w:r>
    </w:p>
    <w:p w14:paraId="797C2B0E" w14:textId="77777777" w:rsidR="00F8368B" w:rsidRPr="002277FD" w:rsidRDefault="00F8368B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7EC03ED1" w14:textId="1BA059EB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gronie finalistów znalazły się t</w:t>
      </w:r>
      <w:r w:rsidR="002209EE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akże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następujące miasta: </w:t>
      </w: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Rawicz, Wasilków, Władysławowo, Kraków (za 2 przedsięwzięcia), Katowice, Bydgoszcz, Zabrze, Konin, Jelenia Góra, Hrubieszów, Bełżyce. </w:t>
      </w:r>
    </w:p>
    <w:p w14:paraId="2C73905D" w14:textId="77777777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3FFD7F1E" w14:textId="7CDDB7A6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Konkursy to jedna z wielu inicjatyw ZMP, które mają na celu stworzenie wartościowej platformy wymiany i promocji innowacyjnych doświadczeń i praktyk, ułatwiających rozwiązywanie złożonych problemów miast i lepsze zaspokajanie potrzeb ich mieszkańców.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Konkursy organizowane przez Związek Miast Polskich mają ponad trzydziestoletnią tradycję, sięgającą samych początków reaktywowanego Związku, czyli 1992 roku. Wtedy to właśnie po raz pierwszy ogłosiliśmy konkurs „Innowacje w miastach” 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>jako przedsięwzięcie towarzyszące Wystawie Gospodarczej Miast i Zjazdowi Gospodarczemu ZMP.</w:t>
      </w:r>
    </w:p>
    <w:p w14:paraId="7B026F5F" w14:textId="77777777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 dotychczasowych 18. edycjach konkursów dla samorządów, organizowanych i współorganizowanych przez ZMP, na innowacyjne rozwiązania w różnych dziedzinach -  w tym w 14. edycjach „Samorządowego Lidera Zarządzania” - w sumie wyróżniliśmy </w:t>
      </w: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369 finalistów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, w tym </w:t>
      </w:r>
      <w:r w:rsidRPr="002277FD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146 laureatów</w:t>
      </w: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. Doświadczenia zdobyte w latach ubiegłych pokazują, jak wielu przedstawicieli samorządów potrafi kreatywnie rozwiązywać problemy społeczności lokalnych, z pasją działać dla ich dobra, jak inspirujące mogą być lokalne inicjatywy samorządów i instytucji z nimi współpracujących, jak wysoka i godna naśladowania jest jakość innowacyjnych przedsięwzięć. Samorządy polskie każdego dnia udowadniają, jak dużą rolę odgrywają w poprawianiu codziennego życia swoich mieszkańców. Wciąż trudne warunki prawne i finansowe działania samorządów mobilizują często lokalnych polityków i osoby zarządzające do szukania oraz wprowadzania coraz bardziej skutecznych rozwiązań. </w:t>
      </w:r>
    </w:p>
    <w:p w14:paraId="277788AC" w14:textId="707A4BE0" w:rsidR="002277FD" w:rsidRP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Jak istotna dla nas wszystkich jest idea „otwartego rządzenia” nie trzeba przekonywać. Odważnie wdrażana pozwala budować odpowiedzialne społeczeństwo obywatelskie, zwiększać wiedzę i poczucie sprawczości obywateli, niwelować rozłam „my” i „oni”, czyli rządzący. Jak udowodnili laureaci i wyróżnieni w tej edycji, a także finaliści, wiele miast już dziś skutecznie włącza obywateli w proces zarządzania lokalnego. Dzięki rekomendacjom przygotowanym przez OECD (</w:t>
      </w:r>
      <w:hyperlink r:id="rId12" w:history="1">
        <w:r w:rsidRPr="00252461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Raport OECD - Lepsze zarządzanie, planowanie i dostarczanie usług w jednostkach samorządu lokalnego w Polsce</w:t>
        </w:r>
      </w:hyperlink>
      <w:r w:rsidRPr="002277FD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), które zostały wypracowane w ramach projektu predefiniowanego realizowanego ze środków z Norwegii i Islandii, samorządy mają dodatkową pomoc przy wprowadzaniu w życie tej idei. </w:t>
      </w:r>
    </w:p>
    <w:p w14:paraId="2FC2FD63" w14:textId="4BE72E4B" w:rsidR="002277FD" w:rsidRDefault="002277FD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7EE7C7FD" w14:textId="5D419202" w:rsidR="004F3386" w:rsidRPr="002277FD" w:rsidRDefault="004F3386" w:rsidP="002277F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4F338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14. edycja konkursu „Samorządowy Lider Zarządzania 2022 - Komunikacja – partycypacja – współzarządzanie” odbywa się w ramach Programu „Rozwój Lokalny”, finansowanego ze środków Mechanizmów Finansowego EOG i Norweskiego Mechanizmu Finansowego 2014-2021. Liderem projektu jest Związek Miast Polskich, a partnerami są: Norweski Związek Władz Lokalnych i Regionalnych KS, Instytut Rozwoju Miast i Regionów oraz OECD. Operatorem Programu jest natomiast Ministerstwo Funduszy i Polityki Regionalnej.</w:t>
      </w: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32D4035B">
            <wp:extent cx="4486035" cy="1220901"/>
            <wp:effectExtent l="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48" cy="1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21B15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09EE"/>
    <w:rsid w:val="0022153E"/>
    <w:rsid w:val="00224FFC"/>
    <w:rsid w:val="002277FD"/>
    <w:rsid w:val="0023055B"/>
    <w:rsid w:val="002309BB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2F3D1A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5105B0"/>
    <w:rsid w:val="005110A6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2A3A"/>
    <w:rsid w:val="008131DD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A7726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asta.pl/strefa-dla-miast/dokumenty/1195?locale=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797f1dc2-8d94-4174-b000-101e7575fb6c"/>
    <ds:schemaRef ds:uri="http://schemas.microsoft.com/office/2006/documentManagement/types"/>
    <ds:schemaRef ds:uri="cc04306a-7e29-4598-8bc0-52e63436a2c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494C5B-13B4-4F43-8D0D-F4DE1837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3</Pages>
  <Words>916</Words>
  <Characters>6565</Characters>
  <Application>Microsoft Office Word</Application>
  <DocSecurity>0</DocSecurity>
  <Lines>133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3</cp:revision>
  <cp:lastPrinted>2020-09-14T13:45:00Z</cp:lastPrinted>
  <dcterms:created xsi:type="dcterms:W3CDTF">2023-02-23T20:51:00Z</dcterms:created>
  <dcterms:modified xsi:type="dcterms:W3CDTF">2023-02-25T10:41:00Z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